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51" w:rsidRDefault="009E2A20" w:rsidP="009E2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0200C">
        <w:rPr>
          <w:rFonts w:ascii="Times New Roman" w:hAnsi="Times New Roman" w:cs="Times New Roman"/>
          <w:sz w:val="24"/>
          <w:szCs w:val="24"/>
        </w:rPr>
        <w:t>JEDLOG TEMA ZAVRŠNIH RADOVA 2017./2018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A20" w:rsidRDefault="009E2A20" w:rsidP="009E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00C" w:rsidRDefault="00B0200C" w:rsidP="009E2A20">
      <w:pPr>
        <w:rPr>
          <w:rFonts w:ascii="Times New Roman" w:hAnsi="Times New Roman" w:cs="Times New Roman"/>
          <w:b/>
          <w:sz w:val="24"/>
          <w:szCs w:val="24"/>
        </w:rPr>
      </w:pPr>
    </w:p>
    <w:p w:rsidR="009E2A20" w:rsidRP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doc.dr.sc. Dubravka Božić Bogović: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00C" w:rsidRPr="00B0200C">
        <w:rPr>
          <w:rFonts w:ascii="Times New Roman" w:hAnsi="Times New Roman" w:cs="Times New Roman"/>
          <w:sz w:val="24"/>
          <w:szCs w:val="24"/>
        </w:rPr>
        <w:t>Američki rat za neovisnost (1775. - 1783.)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200C" w:rsidRPr="00B0200C">
        <w:rPr>
          <w:rFonts w:ascii="Times New Roman" w:hAnsi="Times New Roman" w:cs="Times New Roman"/>
          <w:sz w:val="24"/>
          <w:szCs w:val="24"/>
        </w:rPr>
        <w:t>Constitutio Criminalis Theresiana - biopolitički osvrt na zakonik protomodernizma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200C" w:rsidRPr="00B0200C">
        <w:rPr>
          <w:rFonts w:ascii="Times New Roman" w:hAnsi="Times New Roman" w:cs="Times New Roman"/>
          <w:sz w:val="24"/>
          <w:szCs w:val="24"/>
        </w:rPr>
        <w:t>Pad Bosanskog Kraljevstva 1463. godine</w:t>
      </w:r>
    </w:p>
    <w:p w:rsidR="008A56CC" w:rsidRDefault="008A56CC" w:rsidP="008A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56CC">
        <w:rPr>
          <w:rFonts w:ascii="Times New Roman" w:hAnsi="Times New Roman" w:cs="Times New Roman"/>
          <w:sz w:val="24"/>
          <w:szCs w:val="24"/>
        </w:rPr>
        <w:t>Osnivanje Slavonske generalkomande 1701.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56CC">
        <w:rPr>
          <w:rFonts w:ascii="Times New Roman" w:hAnsi="Times New Roman" w:cs="Times New Roman"/>
          <w:sz w:val="24"/>
          <w:szCs w:val="24"/>
        </w:rPr>
        <w:t>godine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p w:rsidR="009E2A20" w:rsidRP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doc.dr.sc. Zlatko Đukić: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00C" w:rsidRPr="00B0200C">
        <w:rPr>
          <w:rFonts w:ascii="Times New Roman" w:hAnsi="Times New Roman" w:cs="Times New Roman"/>
          <w:sz w:val="24"/>
          <w:szCs w:val="24"/>
        </w:rPr>
        <w:t>Hamurabi – vladar, vojskovođa i zakonodavac Babilonskog carstva</w:t>
      </w:r>
    </w:p>
    <w:p w:rsidR="009E2A20" w:rsidRDefault="009E2A20" w:rsidP="00B0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200C" w:rsidRPr="00B0200C">
        <w:rPr>
          <w:rFonts w:ascii="Times New Roman" w:hAnsi="Times New Roman" w:cs="Times New Roman"/>
          <w:sz w:val="24"/>
          <w:szCs w:val="24"/>
        </w:rPr>
        <w:t>Uzroci i posljedice Balkanskih ratova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p w:rsidR="009E2A20" w:rsidRP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doc.dr.sc. Slađana Josipović Batorek: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00C" w:rsidRPr="00B0200C">
        <w:rPr>
          <w:rFonts w:ascii="Times New Roman" w:hAnsi="Times New Roman" w:cs="Times New Roman"/>
          <w:sz w:val="24"/>
          <w:szCs w:val="24"/>
        </w:rPr>
        <w:t>Križni put 1945. godine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200C" w:rsidRPr="00B0200C">
        <w:rPr>
          <w:rFonts w:ascii="Times New Roman" w:hAnsi="Times New Roman" w:cs="Times New Roman"/>
          <w:sz w:val="24"/>
          <w:szCs w:val="24"/>
        </w:rPr>
        <w:t>Odnos Nezavisne države Hrvatske prema rasnim, etničkim i vjerskim skupinama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200C" w:rsidRPr="00B0200C">
        <w:rPr>
          <w:rFonts w:ascii="Times New Roman" w:hAnsi="Times New Roman" w:cs="Times New Roman"/>
          <w:sz w:val="24"/>
          <w:szCs w:val="24"/>
        </w:rPr>
        <w:t>Politika nacističke Njemačke prema mladeži i odgoju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200C" w:rsidRPr="00B0200C">
        <w:rPr>
          <w:rFonts w:ascii="Times New Roman" w:hAnsi="Times New Roman" w:cs="Times New Roman"/>
          <w:sz w:val="24"/>
          <w:szCs w:val="24"/>
        </w:rPr>
        <w:t>Položaj i uloga žena u Prvom svjetskom ratu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200C" w:rsidRPr="00B0200C">
        <w:rPr>
          <w:rFonts w:ascii="Times New Roman" w:hAnsi="Times New Roman" w:cs="Times New Roman"/>
          <w:sz w:val="24"/>
          <w:szCs w:val="24"/>
        </w:rPr>
        <w:t>Ratne taktike i tehnologija u Drugom svjetskom ratu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200C" w:rsidRPr="00B0200C">
        <w:rPr>
          <w:rFonts w:ascii="Times New Roman" w:hAnsi="Times New Roman" w:cs="Times New Roman"/>
          <w:sz w:val="24"/>
          <w:szCs w:val="24"/>
        </w:rPr>
        <w:t>Sovjetsko-afganistanski rat u hladnoratovskom kontekstu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p w:rsidR="00B0200C" w:rsidRDefault="00B0200C" w:rsidP="009E2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doc.dr.sc. D</w:t>
      </w:r>
      <w:r w:rsidRPr="00B0200C">
        <w:rPr>
          <w:rFonts w:ascii="Times New Roman" w:hAnsi="Times New Roman" w:cs="Times New Roman"/>
          <w:b/>
          <w:sz w:val="24"/>
          <w:szCs w:val="24"/>
        </w:rPr>
        <w:t>enis Njari: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  <w:r w:rsidRPr="00B0200C">
        <w:rPr>
          <w:rFonts w:ascii="Times New Roman" w:hAnsi="Times New Roman" w:cs="Times New Roman"/>
          <w:sz w:val="24"/>
          <w:szCs w:val="24"/>
        </w:rPr>
        <w:t>1. Dinastija Kotromanića u srednjovjekovnoj Bosni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200C">
        <w:rPr>
          <w:rFonts w:ascii="Times New Roman" w:hAnsi="Times New Roman" w:cs="Times New Roman"/>
          <w:sz w:val="24"/>
          <w:szCs w:val="24"/>
        </w:rPr>
        <w:t>Džingis-kan i Mongolsko Carstvo do 1294. godine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200C">
        <w:rPr>
          <w:rFonts w:ascii="Times New Roman" w:hAnsi="Times New Roman" w:cs="Times New Roman"/>
          <w:sz w:val="24"/>
          <w:szCs w:val="24"/>
        </w:rPr>
        <w:t>Pretkršćanska vjerovanja Slavena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200C">
        <w:rPr>
          <w:rFonts w:ascii="Times New Roman" w:hAnsi="Times New Roman" w:cs="Times New Roman"/>
          <w:sz w:val="24"/>
          <w:szCs w:val="24"/>
        </w:rPr>
        <w:t>Prvo Bugarsko Carstvo (681.-1018.)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200C">
        <w:rPr>
          <w:rFonts w:ascii="Times New Roman" w:hAnsi="Times New Roman" w:cs="Times New Roman"/>
          <w:sz w:val="24"/>
          <w:szCs w:val="24"/>
        </w:rPr>
        <w:t>Ujedinjenje Kastilje i Aragona. Formiranje španjolske države.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200C">
        <w:rPr>
          <w:rFonts w:ascii="Times New Roman" w:hAnsi="Times New Roman" w:cs="Times New Roman"/>
          <w:sz w:val="24"/>
          <w:szCs w:val="24"/>
        </w:rPr>
        <w:t>Uzroci crkvenog raskola 1054.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0200C">
        <w:rPr>
          <w:rFonts w:ascii="Times New Roman" w:hAnsi="Times New Roman" w:cs="Times New Roman"/>
          <w:sz w:val="24"/>
          <w:szCs w:val="24"/>
        </w:rPr>
        <w:t>Varjazi</w:t>
      </w:r>
    </w:p>
    <w:p w:rsid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</w:p>
    <w:p w:rsidR="00B0200C" w:rsidRPr="00B0200C" w:rsidRDefault="00B0200C" w:rsidP="009E2A20">
      <w:pPr>
        <w:rPr>
          <w:rFonts w:ascii="Times New Roman" w:hAnsi="Times New Roman" w:cs="Times New Roman"/>
          <w:sz w:val="24"/>
          <w:szCs w:val="24"/>
        </w:rPr>
      </w:pPr>
    </w:p>
    <w:p w:rsid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izv.prof.dr.sc. Jasna Šimić: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 w:rsidRPr="009E2A20">
        <w:rPr>
          <w:rFonts w:ascii="Times New Roman" w:hAnsi="Times New Roman" w:cs="Times New Roman"/>
          <w:sz w:val="24"/>
          <w:szCs w:val="24"/>
        </w:rPr>
        <w:t xml:space="preserve">1. </w:t>
      </w:r>
      <w:r w:rsidR="00B0200C" w:rsidRPr="00B0200C">
        <w:rPr>
          <w:rFonts w:ascii="Times New Roman" w:hAnsi="Times New Roman" w:cs="Times New Roman"/>
          <w:sz w:val="24"/>
          <w:szCs w:val="24"/>
        </w:rPr>
        <w:t>Autohtoni kultovi i razvoj kršćanstva u rimskoj provinciji Dalmaciji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200C" w:rsidRPr="00B0200C">
        <w:rPr>
          <w:rFonts w:ascii="Times New Roman" w:hAnsi="Times New Roman" w:cs="Times New Roman"/>
          <w:sz w:val="24"/>
          <w:szCs w:val="24"/>
        </w:rPr>
        <w:t>Panem et circenses - Rimljani u arenama i cirkusima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200C" w:rsidRPr="00B0200C">
        <w:rPr>
          <w:rFonts w:ascii="Times New Roman" w:hAnsi="Times New Roman" w:cs="Times New Roman"/>
          <w:sz w:val="24"/>
          <w:szCs w:val="24"/>
        </w:rPr>
        <w:t>Rimska arhitektura razonode</w:t>
      </w:r>
    </w:p>
    <w:p w:rsidR="009E2A20" w:rsidRP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sectPr w:rsidR="009E2A20" w:rsidRPr="009E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0"/>
    <w:rsid w:val="002D65E6"/>
    <w:rsid w:val="00586D07"/>
    <w:rsid w:val="008A56CC"/>
    <w:rsid w:val="009E2A20"/>
    <w:rsid w:val="00B0200C"/>
    <w:rsid w:val="00EB5A51"/>
    <w:rsid w:val="00E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4861"/>
  <w15:chartTrackingRefBased/>
  <w15:docId w15:val="{3641DE2E-602E-4FC6-AB18-16D28AFB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2018-02-27T10:43:00Z</dcterms:created>
  <dcterms:modified xsi:type="dcterms:W3CDTF">2018-03-15T10:37:00Z</dcterms:modified>
</cp:coreProperties>
</file>