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AB6AF" w14:textId="77777777" w:rsidR="00014908" w:rsidRDefault="00014908" w:rsidP="00014908"/>
    <w:p w14:paraId="0DEF50E3" w14:textId="5AB7FE40" w:rsidR="00014908" w:rsidRDefault="00014908" w:rsidP="00014908">
      <w:r>
        <w:t>KLASA:</w:t>
      </w:r>
      <w:r w:rsidR="00F96C70">
        <w:t xml:space="preserve"> 602-04/22-04/51</w:t>
      </w:r>
    </w:p>
    <w:p w14:paraId="30FECAF0" w14:textId="324A9043" w:rsidR="00014908" w:rsidRDefault="00014908" w:rsidP="00014908">
      <w:r>
        <w:t xml:space="preserve">URBROJ: </w:t>
      </w:r>
      <w:r w:rsidR="00F96C70">
        <w:t>2158-83-07-22-2</w:t>
      </w:r>
    </w:p>
    <w:p w14:paraId="39BC350D" w14:textId="77777777" w:rsidR="00014908" w:rsidRDefault="00014908" w:rsidP="00014908">
      <w:bookmarkStart w:id="0" w:name="_GoBack"/>
      <w:bookmarkEnd w:id="0"/>
    </w:p>
    <w:p w14:paraId="044C01BA" w14:textId="77777777" w:rsidR="00014908" w:rsidRDefault="00014908" w:rsidP="00014908">
      <w:r>
        <w:t>Osijek, 21. 3. 2022. godine</w:t>
      </w:r>
    </w:p>
    <w:p w14:paraId="72EAF36A" w14:textId="77777777" w:rsidR="00014908" w:rsidRPr="00014908" w:rsidRDefault="00014908" w:rsidP="00014908"/>
    <w:p w14:paraId="3A892836" w14:textId="62110147" w:rsidR="00014908" w:rsidRPr="00014908" w:rsidRDefault="00014908" w:rsidP="00014908">
      <w:pPr>
        <w:jc w:val="center"/>
        <w:rPr>
          <w:sz w:val="24"/>
          <w:szCs w:val="24"/>
        </w:rPr>
      </w:pPr>
      <w:r w:rsidRPr="00014908">
        <w:rPr>
          <w:b/>
          <w:bCs/>
          <w:sz w:val="24"/>
          <w:szCs w:val="24"/>
        </w:rPr>
        <w:t>Izvješće o mentorskom sustavu na Filozofskom fakultetu u Osijeku za akademsku godinu 20</w:t>
      </w:r>
      <w:r w:rsidR="00A45E5F">
        <w:rPr>
          <w:b/>
          <w:bCs/>
          <w:sz w:val="24"/>
          <w:szCs w:val="24"/>
        </w:rPr>
        <w:t>20</w:t>
      </w:r>
      <w:r w:rsidRPr="00014908">
        <w:rPr>
          <w:b/>
          <w:bCs/>
          <w:sz w:val="24"/>
          <w:szCs w:val="24"/>
        </w:rPr>
        <w:t>./202</w:t>
      </w:r>
      <w:r w:rsidR="00A45E5F">
        <w:rPr>
          <w:b/>
          <w:bCs/>
          <w:sz w:val="24"/>
          <w:szCs w:val="24"/>
        </w:rPr>
        <w:t>1</w:t>
      </w:r>
      <w:r w:rsidRPr="00014908">
        <w:rPr>
          <w:b/>
          <w:bCs/>
          <w:sz w:val="24"/>
          <w:szCs w:val="24"/>
        </w:rPr>
        <w:t>.</w:t>
      </w:r>
    </w:p>
    <w:p w14:paraId="3AD87F73" w14:textId="271080F4" w:rsidR="00014908" w:rsidRPr="00014908" w:rsidRDefault="00014908" w:rsidP="00014908">
      <w:pPr>
        <w:jc w:val="both"/>
        <w:rPr>
          <w:sz w:val="24"/>
          <w:szCs w:val="24"/>
        </w:rPr>
      </w:pPr>
      <w:r w:rsidRPr="00014908">
        <w:rPr>
          <w:sz w:val="24"/>
          <w:szCs w:val="24"/>
        </w:rPr>
        <w:t>U skladu s planom rada Povjerenstva za osiguravanje i unapređivanje kvalitete za akademsku godinu 2021./2022., donosimo godišnje izvješće o mentorskom sustavu za akademsku godinu 20</w:t>
      </w:r>
      <w:r w:rsidR="00A45E5F">
        <w:rPr>
          <w:sz w:val="24"/>
          <w:szCs w:val="24"/>
        </w:rPr>
        <w:t>20</w:t>
      </w:r>
      <w:r w:rsidRPr="00014908">
        <w:rPr>
          <w:sz w:val="24"/>
          <w:szCs w:val="24"/>
        </w:rPr>
        <w:t>./202</w:t>
      </w:r>
      <w:r w:rsidR="00A45E5F">
        <w:rPr>
          <w:sz w:val="24"/>
          <w:szCs w:val="24"/>
        </w:rPr>
        <w:t xml:space="preserve">1. </w:t>
      </w:r>
      <w:r w:rsidRPr="00014908">
        <w:rPr>
          <w:sz w:val="24"/>
          <w:szCs w:val="24"/>
        </w:rPr>
        <w:t xml:space="preserve">Svrha analize mentorskog sustava su praćenje provedbe predviđenih aktivnosti, utvrđivanje prednosti i nedostataka mentorskog sustava te davanje preporuka za njegov daljnji razvoj. </w:t>
      </w:r>
    </w:p>
    <w:p w14:paraId="1E9E44D5" w14:textId="68F6ECA1" w:rsidR="00014908" w:rsidRPr="00014908" w:rsidRDefault="00014908" w:rsidP="00014908">
      <w:pPr>
        <w:jc w:val="both"/>
        <w:rPr>
          <w:sz w:val="24"/>
          <w:szCs w:val="24"/>
        </w:rPr>
      </w:pPr>
      <w:r w:rsidRPr="00014908">
        <w:rPr>
          <w:sz w:val="24"/>
          <w:szCs w:val="24"/>
        </w:rPr>
        <w:t>Analiza podataka i na njoj temeljeno izvješće zasnivaju se na izvješćima mentora za akademsku godinu 20</w:t>
      </w:r>
      <w:r w:rsidR="00A45E5F">
        <w:rPr>
          <w:sz w:val="24"/>
          <w:szCs w:val="24"/>
        </w:rPr>
        <w:t>20</w:t>
      </w:r>
      <w:r w:rsidRPr="00014908">
        <w:rPr>
          <w:sz w:val="24"/>
          <w:szCs w:val="24"/>
        </w:rPr>
        <w:t>./202</w:t>
      </w:r>
      <w:r w:rsidR="00A45E5F">
        <w:rPr>
          <w:sz w:val="24"/>
          <w:szCs w:val="24"/>
        </w:rPr>
        <w:t>1</w:t>
      </w:r>
      <w:r w:rsidRPr="00014908">
        <w:rPr>
          <w:sz w:val="24"/>
          <w:szCs w:val="24"/>
        </w:rPr>
        <w:t>. koje je prikupio Ured za kvalitetu te poslao na uvid Povjerenstvu za kvalitetu.</w:t>
      </w:r>
    </w:p>
    <w:p w14:paraId="38C361FE" w14:textId="2899E1F4" w:rsidR="00014908" w:rsidRPr="00014908" w:rsidRDefault="00014908" w:rsidP="00014908">
      <w:pPr>
        <w:jc w:val="both"/>
        <w:rPr>
          <w:sz w:val="24"/>
          <w:szCs w:val="24"/>
        </w:rPr>
      </w:pPr>
      <w:r w:rsidRPr="00014908">
        <w:rPr>
          <w:sz w:val="24"/>
          <w:szCs w:val="24"/>
        </w:rPr>
        <w:t xml:space="preserve">Na temelju obrade podataka </w:t>
      </w:r>
      <w:r w:rsidR="00A03EBD">
        <w:rPr>
          <w:sz w:val="24"/>
          <w:szCs w:val="24"/>
        </w:rPr>
        <w:t xml:space="preserve">preko Ureda za kvalitetu </w:t>
      </w:r>
      <w:r w:rsidRPr="00014908">
        <w:rPr>
          <w:sz w:val="24"/>
          <w:szCs w:val="24"/>
        </w:rPr>
        <w:t>u akademskoj godini 20</w:t>
      </w:r>
      <w:r w:rsidR="00A45E5F">
        <w:rPr>
          <w:sz w:val="24"/>
          <w:szCs w:val="24"/>
        </w:rPr>
        <w:t>20</w:t>
      </w:r>
      <w:r w:rsidRPr="00014908">
        <w:rPr>
          <w:sz w:val="24"/>
          <w:szCs w:val="24"/>
        </w:rPr>
        <w:t>./202</w:t>
      </w:r>
      <w:r w:rsidR="00A45E5F">
        <w:rPr>
          <w:sz w:val="24"/>
          <w:szCs w:val="24"/>
        </w:rPr>
        <w:t>1</w:t>
      </w:r>
      <w:r w:rsidRPr="00014908">
        <w:rPr>
          <w:sz w:val="24"/>
          <w:szCs w:val="24"/>
        </w:rPr>
        <w:t>. na Filozofskom fakultetu u Osijeku zaključujemo da su bi</w:t>
      </w:r>
      <w:r w:rsidR="00A03EBD">
        <w:rPr>
          <w:sz w:val="24"/>
          <w:szCs w:val="24"/>
        </w:rPr>
        <w:t>lo</w:t>
      </w:r>
      <w:r w:rsidRPr="00014908">
        <w:rPr>
          <w:sz w:val="24"/>
          <w:szCs w:val="24"/>
        </w:rPr>
        <w:t xml:space="preserve"> imenovan</w:t>
      </w:r>
      <w:r w:rsidR="00A03EBD">
        <w:rPr>
          <w:sz w:val="24"/>
          <w:szCs w:val="24"/>
        </w:rPr>
        <w:t>o</w:t>
      </w:r>
      <w:r w:rsidRPr="00014908">
        <w:rPr>
          <w:sz w:val="24"/>
          <w:szCs w:val="24"/>
        </w:rPr>
        <w:t xml:space="preserve"> ukupno </w:t>
      </w:r>
      <w:r w:rsidR="00B0589F">
        <w:rPr>
          <w:sz w:val="24"/>
          <w:szCs w:val="24"/>
        </w:rPr>
        <w:t>58</w:t>
      </w:r>
      <w:r w:rsidRPr="00014908">
        <w:rPr>
          <w:sz w:val="24"/>
          <w:szCs w:val="24"/>
        </w:rPr>
        <w:t xml:space="preserve"> mentor</w:t>
      </w:r>
      <w:r w:rsidR="00A03EBD">
        <w:rPr>
          <w:sz w:val="24"/>
          <w:szCs w:val="24"/>
        </w:rPr>
        <w:t>a</w:t>
      </w:r>
      <w:r w:rsidRPr="00014908">
        <w:rPr>
          <w:sz w:val="24"/>
          <w:szCs w:val="24"/>
        </w:rPr>
        <w:t>, što je pad u odnosu na prethodne akademske godine.</w:t>
      </w:r>
      <w:r w:rsidR="00B40C58">
        <w:rPr>
          <w:sz w:val="24"/>
          <w:szCs w:val="24"/>
        </w:rPr>
        <w:t xml:space="preserve"> Ukupno je predano 61 izvješće, a </w:t>
      </w:r>
      <w:proofErr w:type="spellStart"/>
      <w:r w:rsidR="00B40C58">
        <w:rPr>
          <w:sz w:val="24"/>
          <w:szCs w:val="24"/>
        </w:rPr>
        <w:t>nesrazmjer</w:t>
      </w:r>
      <w:proofErr w:type="spellEnd"/>
      <w:r w:rsidR="00B40C58">
        <w:rPr>
          <w:sz w:val="24"/>
          <w:szCs w:val="24"/>
        </w:rPr>
        <w:t xml:space="preserve"> u broju imenovanih mentora i predanih izvješća leži u činjenici da su neki nastavnici mentori i jednopredmetnim i </w:t>
      </w:r>
      <w:proofErr w:type="spellStart"/>
      <w:r w:rsidR="00B40C58">
        <w:rPr>
          <w:sz w:val="24"/>
          <w:szCs w:val="24"/>
        </w:rPr>
        <w:t>dvopredmetnim</w:t>
      </w:r>
      <w:proofErr w:type="spellEnd"/>
      <w:r w:rsidR="00B40C58">
        <w:rPr>
          <w:sz w:val="24"/>
          <w:szCs w:val="24"/>
        </w:rPr>
        <w:t xml:space="preserve"> studentima na svojoj ustrojbenoj jedinici pa su vodili zasebna izvješća.</w:t>
      </w:r>
      <w:r w:rsidRPr="00014908">
        <w:rPr>
          <w:sz w:val="24"/>
          <w:szCs w:val="24"/>
        </w:rPr>
        <w:t xml:space="preserve"> Najviše je predanih izvješća došlo s Odsjeka za informacijske znanosti (18) a najmanje s Katedre za sociologiju (1</w:t>
      </w:r>
      <w:r w:rsidR="00AE4285">
        <w:rPr>
          <w:sz w:val="24"/>
          <w:szCs w:val="24"/>
        </w:rPr>
        <w:t>)</w:t>
      </w:r>
      <w:r w:rsidRPr="00014908">
        <w:rPr>
          <w:sz w:val="24"/>
          <w:szCs w:val="24"/>
        </w:rPr>
        <w:t xml:space="preserve">. </w:t>
      </w:r>
      <w:r w:rsidR="00FD01C9">
        <w:rPr>
          <w:sz w:val="24"/>
          <w:szCs w:val="24"/>
        </w:rPr>
        <w:t xml:space="preserve">To, kao i u prošloj akademskoj godini, ne mora značiti da su studenti imali manjkavo </w:t>
      </w:r>
      <w:proofErr w:type="spellStart"/>
      <w:r w:rsidR="00FD01C9">
        <w:rPr>
          <w:sz w:val="24"/>
          <w:szCs w:val="24"/>
        </w:rPr>
        <w:t>mentoriranje</w:t>
      </w:r>
      <w:proofErr w:type="spellEnd"/>
      <w:r w:rsidR="00AE4285">
        <w:rPr>
          <w:sz w:val="24"/>
          <w:szCs w:val="24"/>
        </w:rPr>
        <w:t xml:space="preserve">, nego pretpostavljamo da je </w:t>
      </w:r>
      <w:proofErr w:type="spellStart"/>
      <w:r w:rsidR="00AE4285">
        <w:rPr>
          <w:sz w:val="24"/>
          <w:szCs w:val="24"/>
        </w:rPr>
        <w:t>mentoriranje</w:t>
      </w:r>
      <w:proofErr w:type="spellEnd"/>
      <w:r w:rsidR="00AE4285">
        <w:rPr>
          <w:sz w:val="24"/>
          <w:szCs w:val="24"/>
        </w:rPr>
        <w:t xml:space="preserve"> odrađivano i izvan zadanih mentorskih sastanaka.</w:t>
      </w:r>
    </w:p>
    <w:p w14:paraId="3A93131B" w14:textId="77777777" w:rsidR="00014908" w:rsidRPr="002705B4" w:rsidRDefault="00014908" w:rsidP="00014908">
      <w:pPr>
        <w:jc w:val="both"/>
        <w:rPr>
          <w:sz w:val="24"/>
          <w:szCs w:val="24"/>
          <w:lang w:val="de-DE"/>
        </w:rPr>
      </w:pPr>
      <w:r w:rsidRPr="00FD01C9">
        <w:rPr>
          <w:sz w:val="24"/>
          <w:szCs w:val="24"/>
        </w:rPr>
        <w:t xml:space="preserve">Prosječno je svaki mentor bio zadužen za </w:t>
      </w:r>
      <w:proofErr w:type="spellStart"/>
      <w:r w:rsidRPr="00FD01C9">
        <w:rPr>
          <w:sz w:val="24"/>
          <w:szCs w:val="24"/>
        </w:rPr>
        <w:t>mentoriranje</w:t>
      </w:r>
      <w:proofErr w:type="spellEnd"/>
      <w:r w:rsidRPr="00FD01C9">
        <w:rPr>
          <w:sz w:val="24"/>
          <w:szCs w:val="24"/>
        </w:rPr>
        <w:t xml:space="preserve"> 20,33 studenata. </w:t>
      </w:r>
      <w:proofErr w:type="spellStart"/>
      <w:r w:rsidRPr="0012662C">
        <w:rPr>
          <w:sz w:val="24"/>
          <w:szCs w:val="24"/>
          <w:lang w:val="de-DE"/>
        </w:rPr>
        <w:t>Sukladno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prikupljenim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podatcima</w:t>
      </w:r>
      <w:proofErr w:type="spellEnd"/>
      <w:r w:rsidRPr="0012662C">
        <w:rPr>
          <w:sz w:val="24"/>
          <w:szCs w:val="24"/>
          <w:lang w:val="de-DE"/>
        </w:rPr>
        <w:t xml:space="preserve">, a </w:t>
      </w:r>
      <w:proofErr w:type="spellStart"/>
      <w:r w:rsidRPr="0012662C">
        <w:rPr>
          <w:sz w:val="24"/>
          <w:szCs w:val="24"/>
          <w:lang w:val="de-DE"/>
        </w:rPr>
        <w:t>što</w:t>
      </w:r>
      <w:proofErr w:type="spellEnd"/>
      <w:r w:rsidRPr="0012662C">
        <w:rPr>
          <w:sz w:val="24"/>
          <w:szCs w:val="24"/>
          <w:lang w:val="de-DE"/>
        </w:rPr>
        <w:t xml:space="preserve"> je </w:t>
      </w:r>
      <w:proofErr w:type="spellStart"/>
      <w:r w:rsidRPr="0012662C">
        <w:rPr>
          <w:sz w:val="24"/>
          <w:szCs w:val="24"/>
          <w:lang w:val="de-DE"/>
        </w:rPr>
        <w:t>razvidno</w:t>
      </w:r>
      <w:proofErr w:type="spellEnd"/>
      <w:r w:rsidRPr="0012662C">
        <w:rPr>
          <w:sz w:val="24"/>
          <w:szCs w:val="24"/>
          <w:lang w:val="de-DE"/>
        </w:rPr>
        <w:t xml:space="preserve"> i </w:t>
      </w:r>
      <w:proofErr w:type="spellStart"/>
      <w:r w:rsidRPr="0012662C">
        <w:rPr>
          <w:sz w:val="24"/>
          <w:szCs w:val="24"/>
          <w:lang w:val="de-DE"/>
        </w:rPr>
        <w:t>iz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Tablice</w:t>
      </w:r>
      <w:proofErr w:type="spellEnd"/>
      <w:r w:rsidRPr="0012662C">
        <w:rPr>
          <w:sz w:val="24"/>
          <w:szCs w:val="24"/>
          <w:lang w:val="de-DE"/>
        </w:rPr>
        <w:t xml:space="preserve"> 1, </w:t>
      </w:r>
      <w:proofErr w:type="spellStart"/>
      <w:r w:rsidRPr="0012662C">
        <w:rPr>
          <w:sz w:val="24"/>
          <w:szCs w:val="24"/>
          <w:lang w:val="de-DE"/>
        </w:rPr>
        <w:t>najveći</w:t>
      </w:r>
      <w:proofErr w:type="spellEnd"/>
      <w:r w:rsidRPr="0012662C">
        <w:rPr>
          <w:sz w:val="24"/>
          <w:szCs w:val="24"/>
          <w:lang w:val="de-DE"/>
        </w:rPr>
        <w:t xml:space="preserve"> je </w:t>
      </w:r>
      <w:proofErr w:type="spellStart"/>
      <w:r w:rsidRPr="0012662C">
        <w:rPr>
          <w:sz w:val="24"/>
          <w:szCs w:val="24"/>
          <w:lang w:val="de-DE"/>
        </w:rPr>
        <w:t>broj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studenata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po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jednom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mentoru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zabilježen</w:t>
      </w:r>
      <w:proofErr w:type="spellEnd"/>
      <w:r w:rsidRPr="0012662C">
        <w:rPr>
          <w:sz w:val="24"/>
          <w:szCs w:val="24"/>
          <w:lang w:val="de-DE"/>
        </w:rPr>
        <w:t xml:space="preserve"> na </w:t>
      </w:r>
      <w:proofErr w:type="spellStart"/>
      <w:r w:rsidRPr="0012662C">
        <w:rPr>
          <w:sz w:val="24"/>
          <w:szCs w:val="24"/>
          <w:lang w:val="de-DE"/>
        </w:rPr>
        <w:t>Odsjeku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psihologiju</w:t>
      </w:r>
      <w:proofErr w:type="spellEnd"/>
      <w:r w:rsidRPr="0012662C">
        <w:rPr>
          <w:sz w:val="24"/>
          <w:szCs w:val="24"/>
          <w:lang w:val="de-DE"/>
        </w:rPr>
        <w:t xml:space="preserve"> (174), a </w:t>
      </w:r>
      <w:proofErr w:type="spellStart"/>
      <w:r w:rsidRPr="0012662C">
        <w:rPr>
          <w:sz w:val="24"/>
          <w:szCs w:val="24"/>
          <w:lang w:val="de-DE"/>
        </w:rPr>
        <w:t>najmanji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broj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studenata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po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mentoru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zabilježen</w:t>
      </w:r>
      <w:proofErr w:type="spellEnd"/>
      <w:r w:rsidRPr="0012662C">
        <w:rPr>
          <w:sz w:val="24"/>
          <w:szCs w:val="24"/>
          <w:lang w:val="de-DE"/>
        </w:rPr>
        <w:t xml:space="preserve"> je na </w:t>
      </w:r>
      <w:proofErr w:type="spellStart"/>
      <w:r w:rsidRPr="0012662C">
        <w:rPr>
          <w:sz w:val="24"/>
          <w:szCs w:val="24"/>
          <w:lang w:val="de-DE"/>
        </w:rPr>
        <w:t>Odsjeku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engleski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jezik</w:t>
      </w:r>
      <w:proofErr w:type="spellEnd"/>
      <w:r w:rsidRPr="0012662C">
        <w:rPr>
          <w:sz w:val="24"/>
          <w:szCs w:val="24"/>
          <w:lang w:val="de-DE"/>
        </w:rPr>
        <w:t xml:space="preserve"> i </w:t>
      </w:r>
      <w:proofErr w:type="spellStart"/>
      <w:r w:rsidRPr="0012662C">
        <w:rPr>
          <w:sz w:val="24"/>
          <w:szCs w:val="24"/>
          <w:lang w:val="de-DE"/>
        </w:rPr>
        <w:t>književnost</w:t>
      </w:r>
      <w:proofErr w:type="spellEnd"/>
      <w:r w:rsidRPr="0012662C">
        <w:rPr>
          <w:sz w:val="24"/>
          <w:szCs w:val="24"/>
          <w:lang w:val="de-DE"/>
        </w:rPr>
        <w:t xml:space="preserve">, na </w:t>
      </w:r>
      <w:proofErr w:type="spellStart"/>
      <w:r w:rsidRPr="0012662C">
        <w:rPr>
          <w:sz w:val="24"/>
          <w:szCs w:val="24"/>
          <w:lang w:val="de-DE"/>
        </w:rPr>
        <w:t>Odsjeku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filozofiju</w:t>
      </w:r>
      <w:proofErr w:type="spellEnd"/>
      <w:r w:rsidRPr="0012662C">
        <w:rPr>
          <w:sz w:val="24"/>
          <w:szCs w:val="24"/>
          <w:lang w:val="de-DE"/>
        </w:rPr>
        <w:t xml:space="preserve"> i na </w:t>
      </w:r>
      <w:proofErr w:type="spellStart"/>
      <w:r w:rsidRPr="0012662C">
        <w:rPr>
          <w:sz w:val="24"/>
          <w:szCs w:val="24"/>
          <w:lang w:val="de-DE"/>
        </w:rPr>
        <w:t>Odsjeku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pedagogiju</w:t>
      </w:r>
      <w:proofErr w:type="spellEnd"/>
      <w:r w:rsidRPr="0012662C">
        <w:rPr>
          <w:sz w:val="24"/>
          <w:szCs w:val="24"/>
          <w:lang w:val="de-DE"/>
        </w:rPr>
        <w:t xml:space="preserve"> (</w:t>
      </w:r>
      <w:proofErr w:type="spellStart"/>
      <w:r w:rsidRPr="0012662C">
        <w:rPr>
          <w:sz w:val="24"/>
          <w:szCs w:val="24"/>
          <w:lang w:val="de-DE"/>
        </w:rPr>
        <w:t>jedan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mentor</w:t>
      </w:r>
      <w:proofErr w:type="spellEnd"/>
      <w:r w:rsidRPr="0012662C">
        <w:rPr>
          <w:sz w:val="24"/>
          <w:szCs w:val="24"/>
          <w:lang w:val="de-DE"/>
        </w:rPr>
        <w:t xml:space="preserve"> </w:t>
      </w:r>
      <w:proofErr w:type="spellStart"/>
      <w:r w:rsidRPr="0012662C">
        <w:rPr>
          <w:sz w:val="24"/>
          <w:szCs w:val="24"/>
          <w:lang w:val="de-DE"/>
        </w:rPr>
        <w:t>za</w:t>
      </w:r>
      <w:proofErr w:type="spellEnd"/>
      <w:r w:rsidRPr="002705B4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7</w:t>
      </w:r>
      <w:r w:rsidRPr="002705B4">
        <w:rPr>
          <w:sz w:val="24"/>
          <w:szCs w:val="24"/>
          <w:lang w:val="de-DE"/>
        </w:rPr>
        <w:t xml:space="preserve"> </w:t>
      </w:r>
      <w:proofErr w:type="spellStart"/>
      <w:r w:rsidRPr="002705B4">
        <w:rPr>
          <w:sz w:val="24"/>
          <w:szCs w:val="24"/>
          <w:lang w:val="de-DE"/>
        </w:rPr>
        <w:t>studenata</w:t>
      </w:r>
      <w:proofErr w:type="spellEnd"/>
      <w:r w:rsidRPr="002705B4">
        <w:rPr>
          <w:sz w:val="24"/>
          <w:szCs w:val="24"/>
          <w:lang w:val="de-DE"/>
        </w:rPr>
        <w:t xml:space="preserve">). </w:t>
      </w:r>
    </w:p>
    <w:p w14:paraId="3750D7BD" w14:textId="77777777" w:rsidR="00014908" w:rsidRDefault="00014908" w:rsidP="00014908">
      <w:pPr>
        <w:jc w:val="both"/>
        <w:rPr>
          <w:sz w:val="24"/>
          <w:szCs w:val="24"/>
        </w:rPr>
      </w:pPr>
      <w:proofErr w:type="spellStart"/>
      <w:r w:rsidRPr="00A45E5F">
        <w:rPr>
          <w:b/>
          <w:bCs/>
          <w:sz w:val="24"/>
          <w:szCs w:val="24"/>
          <w:lang w:val="de-DE"/>
        </w:rPr>
        <w:t>Slika</w:t>
      </w:r>
      <w:proofErr w:type="spellEnd"/>
      <w:r w:rsidRPr="00A45E5F">
        <w:rPr>
          <w:b/>
          <w:bCs/>
          <w:sz w:val="24"/>
          <w:szCs w:val="24"/>
          <w:lang w:val="de-DE"/>
        </w:rPr>
        <w:t xml:space="preserve"> 1. </w:t>
      </w:r>
      <w:r w:rsidRPr="00EA2E91">
        <w:rPr>
          <w:sz w:val="24"/>
          <w:szCs w:val="24"/>
        </w:rPr>
        <w:t xml:space="preserve"> </w:t>
      </w:r>
    </w:p>
    <w:tbl>
      <w:tblPr>
        <w:tblW w:w="4536" w:type="dxa"/>
        <w:tblInd w:w="-969" w:type="dxa"/>
        <w:tblLook w:val="04A0" w:firstRow="1" w:lastRow="0" w:firstColumn="1" w:lastColumn="0" w:noHBand="0" w:noVBand="1"/>
      </w:tblPr>
      <w:tblGrid>
        <w:gridCol w:w="1998"/>
        <w:gridCol w:w="797"/>
        <w:gridCol w:w="797"/>
        <w:gridCol w:w="797"/>
        <w:gridCol w:w="713"/>
        <w:gridCol w:w="682"/>
        <w:gridCol w:w="682"/>
        <w:gridCol w:w="682"/>
        <w:gridCol w:w="692"/>
        <w:gridCol w:w="731"/>
        <w:gridCol w:w="692"/>
        <w:gridCol w:w="768"/>
      </w:tblGrid>
      <w:tr w:rsidR="001A105E" w:rsidRPr="001A105E" w14:paraId="6D6C5C2E" w14:textId="77777777" w:rsidTr="001A105E">
        <w:trPr>
          <w:trHeight w:val="476"/>
        </w:trPr>
        <w:tc>
          <w:tcPr>
            <w:tcW w:w="3881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center"/>
            <w:hideMark/>
          </w:tcPr>
          <w:p w14:paraId="4FF65543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1" w:name="_Hlk99285802"/>
            <w:r w:rsidRPr="001A105E">
              <w:rPr>
                <w:b/>
                <w:bCs/>
                <w:sz w:val="24"/>
                <w:szCs w:val="24"/>
                <w:lang w:val="en-US"/>
              </w:rPr>
              <w:t>ODSJEK/STUDIJ</w:t>
            </w:r>
          </w:p>
        </w:tc>
        <w:tc>
          <w:tcPr>
            <w:tcW w:w="1120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831DBB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*PROSJ. BROJ</w:t>
            </w:r>
            <w:r w:rsidRPr="001A105E">
              <w:rPr>
                <w:sz w:val="24"/>
                <w:szCs w:val="24"/>
                <w:lang w:val="en-US"/>
              </w:rPr>
              <w:br/>
              <w:t>STUDENAT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 xml:space="preserve">A </w:t>
            </w:r>
            <w:r w:rsidRPr="001A105E">
              <w:rPr>
                <w:sz w:val="24"/>
                <w:szCs w:val="24"/>
                <w:lang w:val="en-US"/>
              </w:rPr>
              <w:br/>
              <w:t>PO MENTORU</w:t>
            </w:r>
          </w:p>
        </w:tc>
        <w:tc>
          <w:tcPr>
            <w:tcW w:w="1113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BC7977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MAKS. BROJ</w:t>
            </w:r>
            <w:r w:rsidRPr="001A105E">
              <w:rPr>
                <w:sz w:val="24"/>
                <w:szCs w:val="24"/>
                <w:lang w:val="en-US"/>
              </w:rPr>
              <w:br/>
              <w:t>STUDENAT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 xml:space="preserve">A </w:t>
            </w:r>
            <w:r w:rsidRPr="001A105E">
              <w:rPr>
                <w:sz w:val="24"/>
                <w:szCs w:val="24"/>
                <w:lang w:val="en-US"/>
              </w:rPr>
              <w:br/>
              <w:t>PO MENTORU</w:t>
            </w:r>
          </w:p>
        </w:tc>
        <w:tc>
          <w:tcPr>
            <w:tcW w:w="1140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630A4D6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de-DE"/>
              </w:rPr>
            </w:pPr>
            <w:r w:rsidRPr="001A105E">
              <w:rPr>
                <w:sz w:val="24"/>
                <w:szCs w:val="24"/>
                <w:lang w:val="de-DE"/>
              </w:rPr>
              <w:lastRenderedPageBreak/>
              <w:t>MIN. BROJ</w:t>
            </w:r>
            <w:r w:rsidRPr="001A105E">
              <w:rPr>
                <w:sz w:val="24"/>
                <w:szCs w:val="24"/>
                <w:lang w:val="de-DE"/>
              </w:rPr>
              <w:br/>
              <w:t xml:space="preserve">STUDENATA </w:t>
            </w:r>
            <w:r w:rsidRPr="001A105E">
              <w:rPr>
                <w:sz w:val="24"/>
                <w:szCs w:val="24"/>
                <w:lang w:val="de-DE"/>
              </w:rPr>
              <w:br/>
            </w:r>
            <w:r w:rsidRPr="001A105E">
              <w:rPr>
                <w:sz w:val="24"/>
                <w:szCs w:val="24"/>
                <w:lang w:val="de-DE"/>
              </w:rPr>
              <w:lastRenderedPageBreak/>
              <w:t>PO MENTORU</w:t>
            </w:r>
          </w:p>
        </w:tc>
        <w:tc>
          <w:tcPr>
            <w:tcW w:w="1047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1D474F0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BROJ</w:t>
            </w:r>
            <w:r w:rsidRPr="001A105E">
              <w:rPr>
                <w:sz w:val="24"/>
                <w:szCs w:val="24"/>
                <w:lang w:val="en-US"/>
              </w:rPr>
              <w:br/>
              <w:t>PREDANIH</w:t>
            </w:r>
            <w:r w:rsidRPr="001A105E">
              <w:rPr>
                <w:sz w:val="24"/>
                <w:szCs w:val="24"/>
                <w:lang w:val="en-US"/>
              </w:rPr>
              <w:br/>
            </w:r>
            <w:r w:rsidRPr="001A105E">
              <w:rPr>
                <w:sz w:val="24"/>
                <w:szCs w:val="24"/>
                <w:lang w:val="en-US"/>
              </w:rPr>
              <w:lastRenderedPageBreak/>
              <w:t>IZVJEŠĆA</w:t>
            </w:r>
          </w:p>
        </w:tc>
        <w:tc>
          <w:tcPr>
            <w:tcW w:w="992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3B0137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BROJ-</w:t>
            </w:r>
            <w:r w:rsidRPr="001A105E">
              <w:rPr>
                <w:sz w:val="24"/>
                <w:szCs w:val="24"/>
                <w:lang w:val="en-US"/>
              </w:rPr>
              <w:br/>
              <w:t>SASTANCI</w:t>
            </w:r>
            <w:r w:rsidRPr="001A105E">
              <w:rPr>
                <w:sz w:val="24"/>
                <w:szCs w:val="24"/>
                <w:lang w:val="en-US"/>
              </w:rPr>
              <w:br/>
            </w:r>
            <w:r w:rsidRPr="001A105E">
              <w:rPr>
                <w:sz w:val="24"/>
                <w:szCs w:val="24"/>
                <w:lang w:val="en-US"/>
              </w:rPr>
              <w:lastRenderedPageBreak/>
              <w:t>AK.GOD.</w:t>
            </w:r>
          </w:p>
        </w:tc>
        <w:tc>
          <w:tcPr>
            <w:tcW w:w="1095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4E6A39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BROJ-</w:t>
            </w:r>
            <w:r w:rsidRPr="001A105E">
              <w:rPr>
                <w:sz w:val="24"/>
                <w:szCs w:val="24"/>
                <w:lang w:val="en-US"/>
              </w:rPr>
              <w:br/>
              <w:t>SASTANCI</w:t>
            </w:r>
            <w:r w:rsidRPr="001A105E">
              <w:rPr>
                <w:sz w:val="24"/>
                <w:szCs w:val="24"/>
                <w:lang w:val="en-US"/>
              </w:rPr>
              <w:br/>
            </w:r>
            <w:r w:rsidRPr="001A105E">
              <w:rPr>
                <w:sz w:val="24"/>
                <w:szCs w:val="24"/>
                <w:lang w:val="en-US"/>
              </w:rPr>
              <w:lastRenderedPageBreak/>
              <w:t>ZIM. SEM.</w:t>
            </w:r>
          </w:p>
        </w:tc>
        <w:tc>
          <w:tcPr>
            <w:tcW w:w="1095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3F1F24B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BROJ-</w:t>
            </w:r>
            <w:r w:rsidRPr="001A105E">
              <w:rPr>
                <w:sz w:val="24"/>
                <w:szCs w:val="24"/>
                <w:lang w:val="en-US"/>
              </w:rPr>
              <w:br/>
              <w:t>SASTANCI</w:t>
            </w:r>
            <w:r w:rsidRPr="001A105E">
              <w:rPr>
                <w:sz w:val="24"/>
                <w:szCs w:val="24"/>
                <w:lang w:val="en-US"/>
              </w:rPr>
              <w:br/>
            </w:r>
            <w:r w:rsidRPr="001A105E">
              <w:rPr>
                <w:sz w:val="24"/>
                <w:szCs w:val="24"/>
                <w:lang w:val="en-US"/>
              </w:rPr>
              <w:lastRenderedPageBreak/>
              <w:t>LJET. SEM.</w:t>
            </w:r>
          </w:p>
        </w:tc>
        <w:tc>
          <w:tcPr>
            <w:tcW w:w="986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8D024D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 xml:space="preserve">PROSJ. </w:t>
            </w:r>
            <w:r w:rsidRPr="001A105E">
              <w:rPr>
                <w:sz w:val="24"/>
                <w:szCs w:val="24"/>
                <w:lang w:val="en-US"/>
              </w:rPr>
              <w:br/>
              <w:t>ODAZIV</w:t>
            </w:r>
            <w:r w:rsidRPr="001A105E">
              <w:rPr>
                <w:sz w:val="24"/>
                <w:szCs w:val="24"/>
                <w:lang w:val="en-US"/>
              </w:rPr>
              <w:br/>
              <w:t>STU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>DENTI</w:t>
            </w:r>
          </w:p>
        </w:tc>
        <w:tc>
          <w:tcPr>
            <w:tcW w:w="1276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542169C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 xml:space="preserve">MAKS. PROSJ. </w:t>
            </w:r>
            <w:r w:rsidRPr="001A105E">
              <w:rPr>
                <w:sz w:val="24"/>
                <w:szCs w:val="24"/>
                <w:lang w:val="en-US"/>
              </w:rPr>
              <w:br/>
              <w:t>ODA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>ZIV</w:t>
            </w:r>
            <w:r w:rsidRPr="001A105E">
              <w:rPr>
                <w:sz w:val="24"/>
                <w:szCs w:val="24"/>
                <w:lang w:val="en-US"/>
              </w:rPr>
              <w:br/>
              <w:t>STUDENTI</w:t>
            </w:r>
          </w:p>
        </w:tc>
        <w:tc>
          <w:tcPr>
            <w:tcW w:w="1072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0E4AB5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 xml:space="preserve">MINIM. PROSJ. </w:t>
            </w:r>
            <w:r w:rsidRPr="001A105E">
              <w:rPr>
                <w:sz w:val="24"/>
                <w:szCs w:val="24"/>
                <w:lang w:val="en-US"/>
              </w:rPr>
              <w:br/>
              <w:t>ODA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>ZIV</w:t>
            </w:r>
            <w:r w:rsidRPr="001A105E">
              <w:rPr>
                <w:sz w:val="24"/>
                <w:szCs w:val="24"/>
                <w:lang w:val="en-US"/>
              </w:rPr>
              <w:br/>
              <w:t>STUDENTI</w:t>
            </w:r>
          </w:p>
        </w:tc>
        <w:tc>
          <w:tcPr>
            <w:tcW w:w="322" w:type="dxa"/>
            <w:vMerge w:val="restart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F8D5E6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lastRenderedPageBreak/>
              <w:t>BROJ</w:t>
            </w:r>
            <w:r w:rsidRPr="001A105E">
              <w:rPr>
                <w:sz w:val="24"/>
                <w:szCs w:val="24"/>
                <w:lang w:val="en-US"/>
              </w:rPr>
              <w:br/>
              <w:t>INDIVID.</w:t>
            </w:r>
            <w:r w:rsidRPr="001A105E">
              <w:rPr>
                <w:sz w:val="24"/>
                <w:szCs w:val="24"/>
                <w:lang w:val="en-US"/>
              </w:rPr>
              <w:br/>
              <w:t>MEN</w:t>
            </w:r>
            <w:r w:rsidRPr="001A105E">
              <w:rPr>
                <w:sz w:val="24"/>
                <w:szCs w:val="24"/>
                <w:lang w:val="en-US"/>
              </w:rPr>
              <w:lastRenderedPageBreak/>
              <w:t>TORIR.</w:t>
            </w:r>
          </w:p>
        </w:tc>
      </w:tr>
      <w:tr w:rsidR="001A105E" w:rsidRPr="001A105E" w14:paraId="110FFC72" w14:textId="77777777" w:rsidTr="001A105E">
        <w:trPr>
          <w:trHeight w:val="476"/>
        </w:trPr>
        <w:tc>
          <w:tcPr>
            <w:tcW w:w="3881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71192FCB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6E4B6BEA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5E77E2D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3847706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7AF449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09E7C27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1B1BB54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1107510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60BC04E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8160FA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71644B4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FA9683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A105E" w:rsidRPr="001A105E" w14:paraId="7DCCDCAB" w14:textId="77777777" w:rsidTr="001A105E">
        <w:trPr>
          <w:trHeight w:val="600"/>
        </w:trPr>
        <w:tc>
          <w:tcPr>
            <w:tcW w:w="3881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D545B8F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184954F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504E582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6898E61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4CC038A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054B3EC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32B3604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6809E44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2F446BD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6EE93E5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050879E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vMerge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  <w:hideMark/>
          </w:tcPr>
          <w:p w14:paraId="313949B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A105E" w:rsidRPr="001A105E" w14:paraId="71C83DFE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373A965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ENGLESKI JEZIK I KNJIŽEVNOST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4C9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13,00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14E4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364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4F2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8E8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1366DD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020E14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D9D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59,50%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519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91,00%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C57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41,00%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EA8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9</w:t>
            </w:r>
          </w:p>
        </w:tc>
      </w:tr>
      <w:tr w:rsidR="001A105E" w:rsidRPr="001A105E" w14:paraId="05B58A7C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29FF2A44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FILOZOFIJA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5493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16,00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C7D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11D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896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B4F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F6065C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02E6B0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A13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42,15%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B0B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69,00%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17A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33,30%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549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</w:tr>
      <w:tr w:rsidR="001A105E" w:rsidRPr="001A105E" w14:paraId="244442BD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208E6CE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HRVATSKI JEZIK I KNJIŽEVNOST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5643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37,00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5A9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06B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1BE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581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27E546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379A1A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600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69,16%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17B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FCB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35,00%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7AC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18</w:t>
            </w:r>
          </w:p>
        </w:tc>
      </w:tr>
      <w:tr w:rsidR="001A105E" w:rsidRPr="001A105E" w14:paraId="3731B64D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9C1137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SOCIOLOGIJA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BA8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38,00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734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76E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6FA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324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6E1D5F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0DA59B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C9E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33E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EDDA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AD78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20</w:t>
            </w:r>
          </w:p>
        </w:tc>
      </w:tr>
      <w:tr w:rsidR="001A105E" w:rsidRPr="001A105E" w14:paraId="3296FBA9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092B7C6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INFORMACIJSKE ZNANOSTI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0E38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13,00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411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B61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66F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114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DC5AA6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328611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26B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60,96%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FEC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AAC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0,00%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4F24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65</w:t>
            </w:r>
          </w:p>
        </w:tc>
      </w:tr>
      <w:tr w:rsidR="001A105E" w:rsidRPr="001A105E" w14:paraId="553F4904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541453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NJEMAČKI JEZIK I KNJIŽEVNOST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C32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34,00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478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BA8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796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2C4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B6F5AB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9F6E2F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D23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80,67%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C80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90,00%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569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67,00%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97C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</w:t>
            </w:r>
          </w:p>
        </w:tc>
      </w:tr>
      <w:tr w:rsidR="001A105E" w:rsidRPr="001A105E" w14:paraId="6DDC0B3E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77E1003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PEDAGOGIJA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D93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18,00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B72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6E28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5E3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5A5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0A67BA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DE3349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C2F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60,75%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9711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3C7D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13,00%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1FBA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49</w:t>
            </w:r>
          </w:p>
        </w:tc>
      </w:tr>
      <w:tr w:rsidR="001A105E" w:rsidRPr="001A105E" w14:paraId="0CD85A52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2DA8403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POVIJEST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26A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22,00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39C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327C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77DB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9D1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38007C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1B7D66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1214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68,12%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541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81,00%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EE5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52,77%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921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82</w:t>
            </w:r>
          </w:p>
        </w:tc>
      </w:tr>
      <w:tr w:rsidR="001A105E" w:rsidRPr="001A105E" w14:paraId="33F7C418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630DA6B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PSIHOLOGIJA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E41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72,00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935B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10D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D92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5BA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5A6D44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C2A88C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093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94,00%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3AAE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170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86,00%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3E0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37</w:t>
            </w:r>
          </w:p>
        </w:tc>
      </w:tr>
      <w:tr w:rsidR="001A105E" w:rsidRPr="001A105E" w14:paraId="0FFDC488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noWrap/>
            <w:vAlign w:val="bottom"/>
            <w:hideMark/>
          </w:tcPr>
          <w:p w14:paraId="432A9FB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MAĐARSKI JEZIK I KNJIŽEVNOST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F964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 xml:space="preserve">        27,00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4219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B1F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43F1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42C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C82980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90FD05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8542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69,75%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2425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77516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35,00%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9812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  <w:r w:rsidRPr="001A105E">
              <w:rPr>
                <w:sz w:val="24"/>
                <w:szCs w:val="24"/>
                <w:lang w:val="en-US"/>
              </w:rPr>
              <w:t>39</w:t>
            </w:r>
          </w:p>
        </w:tc>
      </w:tr>
      <w:tr w:rsidR="001A105E" w:rsidRPr="001A105E" w14:paraId="226B6157" w14:textId="77777777" w:rsidTr="001A105E">
        <w:trPr>
          <w:trHeight w:val="5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94EA8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B2DD2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 xml:space="preserve">        20,33  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1979E6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657A1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C849F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88607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177</w:t>
            </w:r>
          </w:p>
        </w:tc>
        <w:tc>
          <w:tcPr>
            <w:tcW w:w="1095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8FA9235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4FC7E906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91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368FD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56,29%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F9BA3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27B01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 xml:space="preserve">0,00%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5B771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A105E">
              <w:rPr>
                <w:b/>
                <w:bCs/>
                <w:sz w:val="24"/>
                <w:szCs w:val="24"/>
                <w:lang w:val="en-US"/>
              </w:rPr>
              <w:t>425</w:t>
            </w:r>
          </w:p>
        </w:tc>
      </w:tr>
      <w:tr w:rsidR="001A105E" w:rsidRPr="001A105E" w14:paraId="2964D484" w14:textId="77777777" w:rsidTr="001A105E">
        <w:trPr>
          <w:trHeight w:val="300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00AE" w14:textId="77777777" w:rsidR="001A105E" w:rsidRPr="001A105E" w:rsidRDefault="001A105E" w:rsidP="001A105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DE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EB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17ED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D530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501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217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74B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4D3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D2CB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BC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14F" w14:textId="77777777" w:rsidR="001A105E" w:rsidRPr="001A105E" w:rsidRDefault="001A105E" w:rsidP="001A105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bookmarkEnd w:id="1"/>
    </w:tbl>
    <w:p w14:paraId="33713AD6" w14:textId="48A650C6" w:rsidR="00014908" w:rsidRDefault="00014908" w:rsidP="00014908">
      <w:pPr>
        <w:jc w:val="both"/>
        <w:rPr>
          <w:sz w:val="24"/>
          <w:szCs w:val="24"/>
        </w:rPr>
      </w:pPr>
    </w:p>
    <w:p w14:paraId="19EB0108" w14:textId="466C06DB" w:rsidR="00014908" w:rsidRDefault="00014908" w:rsidP="00014908">
      <w:pPr>
        <w:jc w:val="both"/>
        <w:rPr>
          <w:sz w:val="24"/>
          <w:szCs w:val="24"/>
        </w:rPr>
      </w:pPr>
      <w:r w:rsidRPr="00032031">
        <w:rPr>
          <w:sz w:val="24"/>
          <w:szCs w:val="24"/>
        </w:rPr>
        <w:t xml:space="preserve">Prosječan </w:t>
      </w:r>
      <w:r>
        <w:rPr>
          <w:sz w:val="24"/>
          <w:szCs w:val="24"/>
        </w:rPr>
        <w:t>broj</w:t>
      </w:r>
      <w:r w:rsidRPr="00032031">
        <w:rPr>
          <w:sz w:val="24"/>
          <w:szCs w:val="24"/>
        </w:rPr>
        <w:t xml:space="preserve"> studenata </w:t>
      </w:r>
      <w:r>
        <w:rPr>
          <w:sz w:val="24"/>
          <w:szCs w:val="24"/>
        </w:rPr>
        <w:t>po mentoru</w:t>
      </w:r>
      <w:r w:rsidRPr="00032031">
        <w:rPr>
          <w:sz w:val="24"/>
          <w:szCs w:val="24"/>
        </w:rPr>
        <w:t xml:space="preserve"> (slika 2.) bio je najveći na Odsjeku za psihologiju (</w:t>
      </w:r>
      <w:r>
        <w:rPr>
          <w:sz w:val="24"/>
          <w:szCs w:val="24"/>
        </w:rPr>
        <w:t>72</w:t>
      </w:r>
      <w:r w:rsidRPr="00032031">
        <w:rPr>
          <w:sz w:val="24"/>
          <w:szCs w:val="24"/>
        </w:rPr>
        <w:t>), a najmanji na Odsjeku za informacijske znanosti</w:t>
      </w:r>
      <w:r>
        <w:rPr>
          <w:sz w:val="24"/>
          <w:szCs w:val="24"/>
        </w:rPr>
        <w:t xml:space="preserve"> i Odsjeku za engleski jezik i književnost</w:t>
      </w:r>
      <w:r w:rsidRPr="00032031">
        <w:rPr>
          <w:sz w:val="24"/>
          <w:szCs w:val="24"/>
        </w:rPr>
        <w:t xml:space="preserve"> (</w:t>
      </w:r>
      <w:r>
        <w:rPr>
          <w:sz w:val="24"/>
          <w:szCs w:val="24"/>
        </w:rPr>
        <w:t>13</w:t>
      </w:r>
      <w:r w:rsidRPr="00032031">
        <w:rPr>
          <w:sz w:val="24"/>
          <w:szCs w:val="24"/>
        </w:rPr>
        <w:t>).</w:t>
      </w:r>
      <w:r>
        <w:rPr>
          <w:sz w:val="24"/>
          <w:szCs w:val="24"/>
        </w:rPr>
        <w:t xml:space="preserve"> Ostale ustrojbene jedinice nalaze se u rasponu od 1</w:t>
      </w:r>
      <w:r w:rsidR="00AD5DA3">
        <w:rPr>
          <w:sz w:val="24"/>
          <w:szCs w:val="24"/>
        </w:rPr>
        <w:t>6</w:t>
      </w:r>
      <w:r>
        <w:rPr>
          <w:sz w:val="24"/>
          <w:szCs w:val="24"/>
        </w:rPr>
        <w:t xml:space="preserve"> do 38 studenata. Budući da je ustrojbenim jedinicama ostavljena sloboda u organizaciji </w:t>
      </w:r>
      <w:proofErr w:type="spellStart"/>
      <w:r>
        <w:rPr>
          <w:sz w:val="24"/>
          <w:szCs w:val="24"/>
        </w:rPr>
        <w:t>mentoriranja</w:t>
      </w:r>
      <w:proofErr w:type="spellEnd"/>
      <w:r>
        <w:rPr>
          <w:sz w:val="24"/>
          <w:szCs w:val="24"/>
        </w:rPr>
        <w:t xml:space="preserve"> i imenovanju mentora, Povjerenstvo nema nikakvih sugestija u vezi s tim, no moglo bi se preporučiti da se povede računa o </w:t>
      </w:r>
      <w:proofErr w:type="spellStart"/>
      <w:r>
        <w:rPr>
          <w:sz w:val="24"/>
          <w:szCs w:val="24"/>
        </w:rPr>
        <w:t>srazmjernijem</w:t>
      </w:r>
      <w:proofErr w:type="spellEnd"/>
      <w:r>
        <w:rPr>
          <w:sz w:val="24"/>
          <w:szCs w:val="24"/>
        </w:rPr>
        <w:t xml:space="preserve"> opterećenju imenovanih mentora.</w:t>
      </w:r>
      <w:r w:rsidR="00382D14">
        <w:rPr>
          <w:sz w:val="24"/>
          <w:szCs w:val="24"/>
        </w:rPr>
        <w:t xml:space="preserve"> Također bismo preporučili, kao i za prošlu akademsku godinu, da mentori studentima budu nastavnici koji im predaju na toj godini studija. Time bi se postigao kontinuirani pristup </w:t>
      </w:r>
      <w:proofErr w:type="spellStart"/>
      <w:r w:rsidR="00382D14">
        <w:rPr>
          <w:sz w:val="24"/>
          <w:szCs w:val="24"/>
        </w:rPr>
        <w:t>mentoriranim</w:t>
      </w:r>
      <w:proofErr w:type="spellEnd"/>
      <w:r w:rsidR="00382D14">
        <w:rPr>
          <w:sz w:val="24"/>
          <w:szCs w:val="24"/>
        </w:rPr>
        <w:t xml:space="preserve"> studentima, poboljšao mentorski proces te potaknula kvaliteta cjelokupnog mentorskog sustava.</w:t>
      </w:r>
    </w:p>
    <w:p w14:paraId="679348DA" w14:textId="77777777" w:rsidR="00014908" w:rsidRPr="00032031" w:rsidRDefault="00014908" w:rsidP="00014908">
      <w:pPr>
        <w:jc w:val="both"/>
        <w:rPr>
          <w:sz w:val="24"/>
          <w:szCs w:val="24"/>
        </w:rPr>
      </w:pPr>
    </w:p>
    <w:p w14:paraId="185EAED6" w14:textId="77777777" w:rsidR="00014908" w:rsidRPr="00E17D38" w:rsidRDefault="00014908" w:rsidP="00014908">
      <w:pPr>
        <w:jc w:val="both"/>
        <w:rPr>
          <w:b/>
          <w:sz w:val="24"/>
          <w:szCs w:val="24"/>
        </w:rPr>
      </w:pPr>
      <w:r w:rsidRPr="00E17D38">
        <w:rPr>
          <w:b/>
          <w:sz w:val="24"/>
          <w:szCs w:val="24"/>
        </w:rPr>
        <w:t>Slika 2.</w:t>
      </w:r>
    </w:p>
    <w:p w14:paraId="036600D7" w14:textId="660A234A" w:rsidR="00014908" w:rsidRDefault="00F44897" w:rsidP="00014908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DF8CDC9" wp14:editId="39F99569">
            <wp:extent cx="5760720" cy="3050475"/>
            <wp:effectExtent l="0" t="0" r="11430" b="1714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37792FD" w14:textId="77777777" w:rsidR="00B94296" w:rsidRDefault="00B94296" w:rsidP="00014908">
      <w:pPr>
        <w:jc w:val="both"/>
        <w:rPr>
          <w:sz w:val="24"/>
          <w:szCs w:val="24"/>
        </w:rPr>
      </w:pPr>
    </w:p>
    <w:p w14:paraId="422EA42E" w14:textId="77777777" w:rsidR="009407EE" w:rsidRDefault="009407EE" w:rsidP="00014908">
      <w:pPr>
        <w:jc w:val="both"/>
        <w:rPr>
          <w:sz w:val="24"/>
          <w:szCs w:val="24"/>
        </w:rPr>
      </w:pPr>
    </w:p>
    <w:p w14:paraId="7B3AFB50" w14:textId="5E74CECE" w:rsidR="00014908" w:rsidRDefault="00B94296" w:rsidP="00014908">
      <w:pPr>
        <w:jc w:val="both"/>
        <w:rPr>
          <w:sz w:val="24"/>
          <w:szCs w:val="24"/>
        </w:rPr>
      </w:pPr>
      <w:r>
        <w:rPr>
          <w:sz w:val="24"/>
          <w:szCs w:val="24"/>
        </w:rPr>
        <w:t>Na slici 3. vidljiv je</w:t>
      </w:r>
      <w:r w:rsidR="00014908" w:rsidRPr="00032031">
        <w:rPr>
          <w:sz w:val="24"/>
          <w:szCs w:val="24"/>
        </w:rPr>
        <w:t xml:space="preserve"> porast odaziva studenata na mentorske sastanke, što </w:t>
      </w:r>
      <w:r w:rsidR="00146D84">
        <w:rPr>
          <w:sz w:val="24"/>
          <w:szCs w:val="24"/>
        </w:rPr>
        <w:t>opet potkrepljuje činjenicu</w:t>
      </w:r>
      <w:r w:rsidR="00014908" w:rsidRPr="00032031">
        <w:rPr>
          <w:sz w:val="24"/>
          <w:szCs w:val="24"/>
        </w:rPr>
        <w:t xml:space="preserve"> da je mentorski sustav na Filozofskome fakultetu u Osijeku postao dio akademskoga života i kulture kako nastavnika tako i studenata.</w:t>
      </w:r>
      <w:r w:rsidR="00014908">
        <w:rPr>
          <w:sz w:val="24"/>
          <w:szCs w:val="24"/>
        </w:rPr>
        <w:t xml:space="preserve"> Bez obzira na opterećenost mentora po ustrojbenim jedinicama i specifične </w:t>
      </w:r>
      <w:proofErr w:type="spellStart"/>
      <w:r w:rsidR="00014908">
        <w:rPr>
          <w:sz w:val="24"/>
          <w:szCs w:val="24"/>
        </w:rPr>
        <w:t>pandemijske</w:t>
      </w:r>
      <w:proofErr w:type="spellEnd"/>
      <w:r w:rsidR="00014908">
        <w:rPr>
          <w:sz w:val="24"/>
          <w:szCs w:val="24"/>
        </w:rPr>
        <w:t xml:space="preserve"> uvjete odvijanja i nastave i mentorskih aktivnosti tijekom ak. god. 20</w:t>
      </w:r>
      <w:r w:rsidR="00E24CC8">
        <w:rPr>
          <w:sz w:val="24"/>
          <w:szCs w:val="24"/>
        </w:rPr>
        <w:t>20</w:t>
      </w:r>
      <w:r w:rsidR="00014908">
        <w:rPr>
          <w:sz w:val="24"/>
          <w:szCs w:val="24"/>
        </w:rPr>
        <w:t>./202</w:t>
      </w:r>
      <w:r w:rsidR="00E24CC8">
        <w:rPr>
          <w:sz w:val="24"/>
          <w:szCs w:val="24"/>
        </w:rPr>
        <w:t>1</w:t>
      </w:r>
      <w:r w:rsidR="00014908">
        <w:rPr>
          <w:sz w:val="24"/>
          <w:szCs w:val="24"/>
        </w:rPr>
        <w:t>. za svaku je pohvalu angažman i trud mentora koji su, kako se vidi iz prikaza 3, uspjeli odraditi svoje mentorske obveze.</w:t>
      </w:r>
      <w:r w:rsidR="00146D84">
        <w:rPr>
          <w:sz w:val="24"/>
          <w:szCs w:val="24"/>
        </w:rPr>
        <w:t xml:space="preserve"> Najveći je odaziv na mentorske sastanke zabilježen na Katedri za sociologiju (100</w:t>
      </w:r>
      <w:r w:rsidR="00426FFC">
        <w:rPr>
          <w:sz w:val="24"/>
          <w:szCs w:val="24"/>
        </w:rPr>
        <w:t>,00</w:t>
      </w:r>
      <w:r w:rsidR="00146D84">
        <w:rPr>
          <w:sz w:val="24"/>
          <w:szCs w:val="24"/>
        </w:rPr>
        <w:t>%)</w:t>
      </w:r>
      <w:r w:rsidR="004D5667">
        <w:rPr>
          <w:sz w:val="24"/>
          <w:szCs w:val="24"/>
        </w:rPr>
        <w:t xml:space="preserve"> i</w:t>
      </w:r>
      <w:r w:rsidR="00146D84">
        <w:rPr>
          <w:sz w:val="24"/>
          <w:szCs w:val="24"/>
        </w:rPr>
        <w:t xml:space="preserve"> Odsjeku za psihologiju </w:t>
      </w:r>
      <w:r w:rsidR="004D5667">
        <w:rPr>
          <w:sz w:val="24"/>
          <w:szCs w:val="24"/>
        </w:rPr>
        <w:t>(94</w:t>
      </w:r>
      <w:r w:rsidR="00426FFC">
        <w:rPr>
          <w:sz w:val="24"/>
          <w:szCs w:val="24"/>
        </w:rPr>
        <w:t>,00</w:t>
      </w:r>
      <w:r w:rsidR="004D5667">
        <w:rPr>
          <w:sz w:val="24"/>
          <w:szCs w:val="24"/>
        </w:rPr>
        <w:t>%)</w:t>
      </w:r>
      <w:r w:rsidR="00B33B99">
        <w:rPr>
          <w:sz w:val="24"/>
          <w:szCs w:val="24"/>
        </w:rPr>
        <w:t>, a najmanji na Odsjeku za filozofiju (42,15</w:t>
      </w:r>
      <w:r w:rsidR="00426FFC">
        <w:rPr>
          <w:sz w:val="24"/>
          <w:szCs w:val="24"/>
        </w:rPr>
        <w:t>%</w:t>
      </w:r>
      <w:r w:rsidR="00B33B99">
        <w:rPr>
          <w:sz w:val="24"/>
          <w:szCs w:val="24"/>
        </w:rPr>
        <w:t>)</w:t>
      </w:r>
      <w:r w:rsidR="00613929">
        <w:rPr>
          <w:sz w:val="24"/>
          <w:szCs w:val="24"/>
        </w:rPr>
        <w:t>, što je pad u odnosu na prošlu akademsku godinu.</w:t>
      </w:r>
    </w:p>
    <w:p w14:paraId="20C829A5" w14:textId="76456F46" w:rsidR="00014908" w:rsidRDefault="00014908" w:rsidP="00014908">
      <w:pPr>
        <w:jc w:val="both"/>
        <w:rPr>
          <w:sz w:val="24"/>
          <w:szCs w:val="24"/>
        </w:rPr>
      </w:pPr>
    </w:p>
    <w:p w14:paraId="60CAC551" w14:textId="5E009C0D" w:rsidR="001508B7" w:rsidRDefault="001508B7" w:rsidP="00014908">
      <w:pPr>
        <w:jc w:val="both"/>
        <w:rPr>
          <w:sz w:val="24"/>
          <w:szCs w:val="24"/>
        </w:rPr>
      </w:pPr>
    </w:p>
    <w:p w14:paraId="586F8094" w14:textId="48A49025" w:rsidR="001508B7" w:rsidRDefault="001508B7" w:rsidP="00014908">
      <w:pPr>
        <w:jc w:val="both"/>
        <w:rPr>
          <w:sz w:val="24"/>
          <w:szCs w:val="24"/>
        </w:rPr>
      </w:pPr>
    </w:p>
    <w:p w14:paraId="6C3AC83C" w14:textId="26209C1C" w:rsidR="001508B7" w:rsidRDefault="001508B7" w:rsidP="00014908">
      <w:pPr>
        <w:jc w:val="both"/>
        <w:rPr>
          <w:sz w:val="24"/>
          <w:szCs w:val="24"/>
        </w:rPr>
      </w:pPr>
    </w:p>
    <w:p w14:paraId="4C11B0D1" w14:textId="5DB9292D" w:rsidR="001508B7" w:rsidRDefault="001508B7" w:rsidP="00014908">
      <w:pPr>
        <w:jc w:val="both"/>
        <w:rPr>
          <w:sz w:val="24"/>
          <w:szCs w:val="24"/>
        </w:rPr>
      </w:pPr>
    </w:p>
    <w:p w14:paraId="236D88BA" w14:textId="3C231832" w:rsidR="001508B7" w:rsidRDefault="001508B7" w:rsidP="00014908">
      <w:pPr>
        <w:jc w:val="both"/>
        <w:rPr>
          <w:sz w:val="24"/>
          <w:szCs w:val="24"/>
        </w:rPr>
      </w:pPr>
    </w:p>
    <w:p w14:paraId="2963FABA" w14:textId="7B966CC3" w:rsidR="001508B7" w:rsidRDefault="001508B7" w:rsidP="00014908">
      <w:pPr>
        <w:jc w:val="both"/>
        <w:rPr>
          <w:sz w:val="24"/>
          <w:szCs w:val="24"/>
        </w:rPr>
      </w:pPr>
    </w:p>
    <w:p w14:paraId="54D761B6" w14:textId="77777777" w:rsidR="001508B7" w:rsidRDefault="001508B7" w:rsidP="00014908">
      <w:pPr>
        <w:jc w:val="both"/>
        <w:rPr>
          <w:sz w:val="24"/>
          <w:szCs w:val="24"/>
        </w:rPr>
      </w:pPr>
    </w:p>
    <w:p w14:paraId="39F262E7" w14:textId="77777777" w:rsidR="00014908" w:rsidRPr="0048387E" w:rsidRDefault="00014908" w:rsidP="00014908">
      <w:pPr>
        <w:jc w:val="both"/>
        <w:rPr>
          <w:b/>
          <w:sz w:val="24"/>
          <w:szCs w:val="24"/>
        </w:rPr>
      </w:pPr>
      <w:r w:rsidRPr="006477B5">
        <w:rPr>
          <w:b/>
          <w:sz w:val="24"/>
          <w:szCs w:val="24"/>
        </w:rPr>
        <w:lastRenderedPageBreak/>
        <w:t>Slika 3</w:t>
      </w:r>
      <w:r>
        <w:rPr>
          <w:b/>
          <w:sz w:val="24"/>
          <w:szCs w:val="24"/>
        </w:rPr>
        <w:t>.</w:t>
      </w:r>
    </w:p>
    <w:p w14:paraId="22C90818" w14:textId="041529EA" w:rsidR="00014908" w:rsidRDefault="00BD027F" w:rsidP="00014908">
      <w:pPr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AF5BB64" wp14:editId="02CFC3EA">
            <wp:extent cx="5760720" cy="3646413"/>
            <wp:effectExtent l="0" t="0" r="1143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4841D6" w14:textId="77777777" w:rsidR="00014908" w:rsidRDefault="00014908" w:rsidP="00014908">
      <w:pPr>
        <w:jc w:val="both"/>
        <w:rPr>
          <w:sz w:val="24"/>
          <w:szCs w:val="24"/>
        </w:rPr>
      </w:pPr>
    </w:p>
    <w:p w14:paraId="13552114" w14:textId="77777777" w:rsidR="009C6ACB" w:rsidRDefault="009C6ACB" w:rsidP="00014908">
      <w:pPr>
        <w:jc w:val="both"/>
        <w:rPr>
          <w:sz w:val="24"/>
          <w:szCs w:val="24"/>
        </w:rPr>
      </w:pPr>
    </w:p>
    <w:p w14:paraId="6D096056" w14:textId="77777777" w:rsidR="009C6ACB" w:rsidRDefault="009C6ACB" w:rsidP="00014908">
      <w:pPr>
        <w:jc w:val="both"/>
        <w:rPr>
          <w:sz w:val="24"/>
          <w:szCs w:val="24"/>
        </w:rPr>
      </w:pPr>
    </w:p>
    <w:p w14:paraId="10125C4D" w14:textId="1AAF6741" w:rsidR="00014908" w:rsidRDefault="00014908" w:rsidP="00014908">
      <w:pPr>
        <w:jc w:val="both"/>
        <w:rPr>
          <w:sz w:val="24"/>
          <w:szCs w:val="24"/>
        </w:rPr>
      </w:pPr>
      <w:r w:rsidRPr="001170E6">
        <w:rPr>
          <w:sz w:val="24"/>
          <w:szCs w:val="24"/>
        </w:rPr>
        <w:t xml:space="preserve">Usporedni prikaz odaziva studenata na mentorske sastanke pokazuje kako se, uz određene oscilacije, na većini </w:t>
      </w:r>
      <w:r>
        <w:rPr>
          <w:sz w:val="24"/>
          <w:szCs w:val="24"/>
        </w:rPr>
        <w:t>ustrojbenih jedinica</w:t>
      </w:r>
      <w:r w:rsidRPr="001170E6">
        <w:rPr>
          <w:sz w:val="24"/>
          <w:szCs w:val="24"/>
        </w:rPr>
        <w:t xml:space="preserve"> više od polovice studenata odaziva na mentorske sastanke, te da je prekinut negativni trend na odsjecima koji su prethodnih akademskih godina imali nešto lošije rezultate u odnosu na ostale. Ovo je još jedan pokazatelj da se uz pojačani </w:t>
      </w:r>
      <w:r w:rsidRPr="00B54964">
        <w:rPr>
          <w:sz w:val="24"/>
          <w:szCs w:val="24"/>
        </w:rPr>
        <w:t>angažman svih nastavnika</w:t>
      </w:r>
      <w:r>
        <w:rPr>
          <w:sz w:val="24"/>
          <w:szCs w:val="24"/>
        </w:rPr>
        <w:t>,</w:t>
      </w:r>
      <w:r w:rsidRPr="00B54964">
        <w:rPr>
          <w:sz w:val="24"/>
          <w:szCs w:val="24"/>
        </w:rPr>
        <w:t xml:space="preserve"> primjere dobre prakse</w:t>
      </w:r>
      <w:r>
        <w:rPr>
          <w:sz w:val="24"/>
          <w:szCs w:val="24"/>
        </w:rPr>
        <w:t xml:space="preserve"> te rad na podizanju svjesnosti o njegovoj važnosti</w:t>
      </w:r>
      <w:r w:rsidRPr="00B54964">
        <w:rPr>
          <w:sz w:val="24"/>
          <w:szCs w:val="24"/>
        </w:rPr>
        <w:t xml:space="preserve"> mentorski sustav može kontinuirano poboljšavati u budućem razdoblju.</w:t>
      </w:r>
      <w:r w:rsidR="001508B7">
        <w:rPr>
          <w:sz w:val="24"/>
          <w:szCs w:val="24"/>
        </w:rPr>
        <w:t xml:space="preserve"> Za svaku je pohvalu angažman mentora na Katedri za sociologiju</w:t>
      </w:r>
      <w:r w:rsidR="00A552C6">
        <w:rPr>
          <w:sz w:val="24"/>
          <w:szCs w:val="24"/>
        </w:rPr>
        <w:t xml:space="preserve"> i</w:t>
      </w:r>
      <w:r w:rsidR="004C6070">
        <w:rPr>
          <w:sz w:val="24"/>
          <w:szCs w:val="24"/>
        </w:rPr>
        <w:t xml:space="preserve"> Odsjeku za psihologiju</w:t>
      </w:r>
      <w:r w:rsidR="00A552C6">
        <w:rPr>
          <w:sz w:val="24"/>
          <w:szCs w:val="24"/>
        </w:rPr>
        <w:t xml:space="preserve">, koji kontinuirano bilježe visok odaziv studenata na mentorske sastanke i individualna </w:t>
      </w:r>
      <w:proofErr w:type="spellStart"/>
      <w:r w:rsidR="00A552C6">
        <w:rPr>
          <w:sz w:val="24"/>
          <w:szCs w:val="24"/>
        </w:rPr>
        <w:t>mentoriranja</w:t>
      </w:r>
      <w:proofErr w:type="spellEnd"/>
      <w:r w:rsidR="00A552C6">
        <w:rPr>
          <w:sz w:val="24"/>
          <w:szCs w:val="24"/>
        </w:rPr>
        <w:t>.</w:t>
      </w:r>
    </w:p>
    <w:p w14:paraId="61035D3D" w14:textId="77777777" w:rsidR="00014908" w:rsidRDefault="00014908" w:rsidP="00014908">
      <w:pPr>
        <w:jc w:val="both"/>
        <w:rPr>
          <w:sz w:val="24"/>
          <w:szCs w:val="24"/>
        </w:rPr>
      </w:pPr>
    </w:p>
    <w:p w14:paraId="591CD383" w14:textId="77777777" w:rsidR="00014908" w:rsidRPr="00374FB9" w:rsidRDefault="00014908" w:rsidP="00014908">
      <w:pPr>
        <w:jc w:val="both"/>
        <w:rPr>
          <w:b/>
          <w:sz w:val="24"/>
          <w:szCs w:val="24"/>
        </w:rPr>
      </w:pPr>
      <w:r w:rsidRPr="00374FB9">
        <w:rPr>
          <w:b/>
          <w:sz w:val="24"/>
          <w:szCs w:val="24"/>
        </w:rPr>
        <w:t>Slika 4.</w:t>
      </w:r>
    </w:p>
    <w:p w14:paraId="01B4F3FF" w14:textId="77777777" w:rsidR="0068690B" w:rsidRPr="0068690B" w:rsidRDefault="0068690B" w:rsidP="0068690B">
      <w:pPr>
        <w:jc w:val="both"/>
        <w:rPr>
          <w:sz w:val="24"/>
          <w:szCs w:val="24"/>
          <w:lang w:val="en-US"/>
        </w:rPr>
      </w:pPr>
      <w:proofErr w:type="spellStart"/>
      <w:r w:rsidRPr="0068690B">
        <w:rPr>
          <w:b/>
          <w:bCs/>
          <w:sz w:val="24"/>
          <w:szCs w:val="24"/>
          <w:lang w:val="en-US"/>
        </w:rPr>
        <w:t>Usporedni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prikaz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odaziva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studenata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na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mentorske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sastanke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i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individualna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mentoriranja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od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akademske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8690B">
        <w:rPr>
          <w:b/>
          <w:bCs/>
          <w:sz w:val="24"/>
          <w:szCs w:val="24"/>
          <w:lang w:val="en-US"/>
        </w:rPr>
        <w:t>godine</w:t>
      </w:r>
      <w:proofErr w:type="spellEnd"/>
      <w:r w:rsidRPr="0068690B">
        <w:rPr>
          <w:b/>
          <w:bCs/>
          <w:sz w:val="24"/>
          <w:szCs w:val="24"/>
          <w:lang w:val="en-US"/>
        </w:rPr>
        <w:t xml:space="preserve"> 201</w:t>
      </w:r>
      <w:r w:rsidRPr="0068690B">
        <w:rPr>
          <w:b/>
          <w:bCs/>
          <w:sz w:val="24"/>
          <w:szCs w:val="24"/>
        </w:rPr>
        <w:t>7</w:t>
      </w:r>
      <w:proofErr w:type="gramStart"/>
      <w:r w:rsidRPr="0068690B">
        <w:rPr>
          <w:b/>
          <w:bCs/>
          <w:sz w:val="24"/>
          <w:szCs w:val="24"/>
          <w:lang w:val="en-US"/>
        </w:rPr>
        <w:t>./</w:t>
      </w:r>
      <w:proofErr w:type="gramEnd"/>
      <w:r w:rsidRPr="0068690B">
        <w:rPr>
          <w:b/>
          <w:bCs/>
          <w:sz w:val="24"/>
          <w:szCs w:val="24"/>
          <w:lang w:val="en-US"/>
        </w:rPr>
        <w:t>201</w:t>
      </w:r>
      <w:r w:rsidRPr="0068690B">
        <w:rPr>
          <w:b/>
          <w:bCs/>
          <w:sz w:val="24"/>
          <w:szCs w:val="24"/>
        </w:rPr>
        <w:t>8</w:t>
      </w:r>
      <w:r w:rsidRPr="0068690B">
        <w:rPr>
          <w:b/>
          <w:bCs/>
          <w:sz w:val="24"/>
          <w:szCs w:val="24"/>
          <w:lang w:val="en-US"/>
        </w:rPr>
        <w:t xml:space="preserve">. </w:t>
      </w:r>
    </w:p>
    <w:tbl>
      <w:tblPr>
        <w:tblW w:w="5273" w:type="dxa"/>
        <w:tblLook w:val="04A0" w:firstRow="1" w:lastRow="0" w:firstColumn="1" w:lastColumn="0" w:noHBand="0" w:noVBand="1"/>
      </w:tblPr>
      <w:tblGrid>
        <w:gridCol w:w="3626"/>
        <w:gridCol w:w="1104"/>
        <w:gridCol w:w="1069"/>
        <w:gridCol w:w="1122"/>
        <w:gridCol w:w="1069"/>
        <w:gridCol w:w="1072"/>
      </w:tblGrid>
      <w:tr w:rsidR="0068690B" w:rsidRPr="0068690B" w14:paraId="0A0B6CFD" w14:textId="77777777" w:rsidTr="0068690B">
        <w:trPr>
          <w:trHeight w:val="282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1F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494CBA1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2016./17.</w:t>
            </w:r>
          </w:p>
        </w:tc>
        <w:tc>
          <w:tcPr>
            <w:tcW w:w="158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1F8CAE0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2017./18.</w:t>
            </w:r>
          </w:p>
        </w:tc>
        <w:tc>
          <w:tcPr>
            <w:tcW w:w="16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72FDCF15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2018./19</w:t>
            </w:r>
          </w:p>
        </w:tc>
        <w:tc>
          <w:tcPr>
            <w:tcW w:w="158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0DFE58D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2019./20.</w:t>
            </w:r>
          </w:p>
        </w:tc>
        <w:tc>
          <w:tcPr>
            <w:tcW w:w="158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71A2B51F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2020./21.</w:t>
            </w:r>
          </w:p>
        </w:tc>
      </w:tr>
      <w:tr w:rsidR="0068690B" w:rsidRPr="0068690B" w14:paraId="5E4A154E" w14:textId="77777777" w:rsidTr="0068690B">
        <w:trPr>
          <w:trHeight w:val="282"/>
        </w:trPr>
        <w:tc>
          <w:tcPr>
            <w:tcW w:w="56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7360C9C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ENGLESKI JEZIK I KNJIŽEVNOST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978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67,64%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497E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58,82%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681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57,33%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74B3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68,86%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ED43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59,50%</w:t>
            </w:r>
          </w:p>
        </w:tc>
      </w:tr>
      <w:tr w:rsidR="0068690B" w:rsidRPr="0068690B" w14:paraId="3EB9AFB7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5B2035BD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lastRenderedPageBreak/>
              <w:t xml:space="preserve">FILOZOFIJA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A7CC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73,45%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FEC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59,50%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683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33,40%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84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83,55%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8720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42,15%</w:t>
            </w:r>
          </w:p>
        </w:tc>
      </w:tr>
      <w:tr w:rsidR="0068690B" w:rsidRPr="0068690B" w14:paraId="2F24764F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7496D831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HRVATSKI JEZIK I KNJIŽEVNOST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D26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33,13%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83FA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66,75%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B70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48,00%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401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68,86%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C28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69,16%</w:t>
            </w:r>
          </w:p>
        </w:tc>
      </w:tr>
      <w:tr w:rsidR="0068690B" w:rsidRPr="0068690B" w14:paraId="65387F0E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24DB7032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SOCIOLOGIJA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EA2F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75,00%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D381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72,00%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F22D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100,00%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AFF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78,67%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4987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100,00%</w:t>
            </w:r>
          </w:p>
        </w:tc>
      </w:tr>
      <w:tr w:rsidR="0068690B" w:rsidRPr="0068690B" w14:paraId="4A25B879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436F3312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 xml:space="preserve">INFORMACIJSKE ZNANOSTI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2477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48,77%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A46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51,87%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B01B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53,35%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D2B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40,94%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F804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60,96%</w:t>
            </w:r>
          </w:p>
        </w:tc>
      </w:tr>
      <w:tr w:rsidR="0068690B" w:rsidRPr="0068690B" w14:paraId="7199705E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2422E01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NJEMAČKI JEZIK I KNJIŽEVNOST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7592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51,93%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4A1E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59,33%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1FD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65,29%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4C2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83,55%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B599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80,67%</w:t>
            </w:r>
          </w:p>
        </w:tc>
      </w:tr>
      <w:tr w:rsidR="0068690B" w:rsidRPr="0068690B" w14:paraId="386020DB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2678B26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 xml:space="preserve">PEDAGOGIJA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9ED7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41,28%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947E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76,67%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7F51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27,33%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C3A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29,00%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0095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60,75%</w:t>
            </w:r>
          </w:p>
        </w:tc>
      </w:tr>
      <w:tr w:rsidR="0068690B" w:rsidRPr="0068690B" w14:paraId="0C4C4536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5AD94B65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POVIJEST 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59BA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54,14%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0DF5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52,00%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649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42,38%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E6F8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60,10%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9AA70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68,12%</w:t>
            </w:r>
          </w:p>
        </w:tc>
      </w:tr>
      <w:tr w:rsidR="0068690B" w:rsidRPr="0068690B" w14:paraId="48BA5C07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6507D6C5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PSIHOLOGIJA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3F92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75,78%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B57C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85,50%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09D3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78,14%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AD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80,02%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9CA6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94,00%</w:t>
            </w:r>
          </w:p>
        </w:tc>
      </w:tr>
      <w:tr w:rsidR="0068690B" w:rsidRPr="0068690B" w14:paraId="40FBC8D3" w14:textId="77777777" w:rsidTr="0068690B">
        <w:trPr>
          <w:trHeight w:val="282"/>
        </w:trPr>
        <w:tc>
          <w:tcPr>
            <w:tcW w:w="567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center"/>
            <w:hideMark/>
          </w:tcPr>
          <w:p w14:paraId="30695C93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MAĐARSKI JEZIK I KNJIŽEVNOST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39AF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76,19%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D6F4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61,80%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0317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62,80%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68E4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71,63%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CBD01" w14:textId="77777777" w:rsidR="0068690B" w:rsidRPr="0068690B" w:rsidRDefault="0068690B" w:rsidP="0068690B">
            <w:pPr>
              <w:jc w:val="both"/>
              <w:rPr>
                <w:sz w:val="24"/>
                <w:szCs w:val="24"/>
                <w:lang w:val="en-US"/>
              </w:rPr>
            </w:pPr>
            <w:r w:rsidRPr="0068690B">
              <w:rPr>
                <w:sz w:val="24"/>
                <w:szCs w:val="24"/>
                <w:lang w:val="en-US"/>
              </w:rPr>
              <w:t>69,75%</w:t>
            </w:r>
          </w:p>
        </w:tc>
      </w:tr>
    </w:tbl>
    <w:p w14:paraId="16540AFD" w14:textId="77777777" w:rsidR="0068690B" w:rsidRPr="0068690B" w:rsidRDefault="0068690B" w:rsidP="0068690B">
      <w:pPr>
        <w:jc w:val="both"/>
        <w:rPr>
          <w:sz w:val="24"/>
          <w:szCs w:val="24"/>
          <w:lang w:val="en-US"/>
        </w:rPr>
      </w:pPr>
    </w:p>
    <w:p w14:paraId="31365890" w14:textId="77777777" w:rsidR="0068690B" w:rsidRPr="0068690B" w:rsidRDefault="0068690B" w:rsidP="0068690B">
      <w:pPr>
        <w:jc w:val="both"/>
        <w:rPr>
          <w:sz w:val="24"/>
          <w:szCs w:val="24"/>
          <w:lang w:val="en-US"/>
        </w:rPr>
      </w:pPr>
      <w:r w:rsidRPr="0068690B">
        <w:rPr>
          <w:noProof/>
          <w:sz w:val="24"/>
          <w:szCs w:val="24"/>
          <w:lang w:eastAsia="hr-HR"/>
        </w:rPr>
        <w:drawing>
          <wp:inline distT="0" distB="0" distL="0" distR="0" wp14:anchorId="0CF05F30" wp14:editId="70D5C969">
            <wp:extent cx="5263200" cy="3096000"/>
            <wp:effectExtent l="0" t="0" r="1397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EB2713" w14:textId="7840E13A" w:rsidR="00014908" w:rsidRDefault="00014908" w:rsidP="00014908">
      <w:pPr>
        <w:jc w:val="both"/>
        <w:rPr>
          <w:sz w:val="24"/>
          <w:szCs w:val="24"/>
        </w:rPr>
      </w:pPr>
    </w:p>
    <w:p w14:paraId="7546DF9D" w14:textId="6C0D6F78" w:rsidR="00014908" w:rsidRDefault="00014908" w:rsidP="00014908">
      <w:pPr>
        <w:jc w:val="both"/>
        <w:rPr>
          <w:sz w:val="24"/>
          <w:szCs w:val="24"/>
        </w:rPr>
      </w:pPr>
    </w:p>
    <w:p w14:paraId="3AFD7076" w14:textId="0192EE17" w:rsidR="00014908" w:rsidRDefault="003F5081" w:rsidP="00014908">
      <w:pPr>
        <w:jc w:val="both"/>
        <w:rPr>
          <w:sz w:val="24"/>
          <w:szCs w:val="24"/>
        </w:rPr>
      </w:pPr>
      <w:r>
        <w:rPr>
          <w:sz w:val="24"/>
          <w:szCs w:val="24"/>
        </w:rPr>
        <w:t>Navedeni se komentari</w:t>
      </w:r>
      <w:r w:rsidR="00014908">
        <w:rPr>
          <w:sz w:val="24"/>
          <w:szCs w:val="24"/>
        </w:rPr>
        <w:t xml:space="preserve"> za poboljšanje mentorskog sustava najviše odnose na uočenu učinkovitost preko </w:t>
      </w:r>
      <w:proofErr w:type="spellStart"/>
      <w:r w:rsidR="00014908">
        <w:rPr>
          <w:sz w:val="24"/>
          <w:szCs w:val="24"/>
        </w:rPr>
        <w:t>mentoriranja</w:t>
      </w:r>
      <w:proofErr w:type="spellEnd"/>
      <w:r w:rsidR="00014908">
        <w:rPr>
          <w:sz w:val="24"/>
          <w:szCs w:val="24"/>
        </w:rPr>
        <w:t xml:space="preserve"> putem e-pošte i (virtualnih i individualnih) konzultacija, pa bismo preporučili da se ovi oblici komunikacije i dalje ostanu mentorima na raspolaganju.</w:t>
      </w:r>
      <w:r>
        <w:rPr>
          <w:sz w:val="24"/>
          <w:szCs w:val="24"/>
        </w:rPr>
        <w:t xml:space="preserve"> Također bismo preporučili svim ustrojbenim jedinicama izradu studentskog vodiča o ECTS-bodovima</w:t>
      </w:r>
      <w:r w:rsidR="00EF4F15">
        <w:rPr>
          <w:sz w:val="24"/>
          <w:szCs w:val="24"/>
        </w:rPr>
        <w:t xml:space="preserve">, jer se dio komentara odnosio </w:t>
      </w:r>
      <w:r w:rsidR="00D11F9F">
        <w:rPr>
          <w:sz w:val="24"/>
          <w:szCs w:val="24"/>
        </w:rPr>
        <w:t>i na ovu problematiku.</w:t>
      </w:r>
    </w:p>
    <w:p w14:paraId="27D04466" w14:textId="77777777" w:rsidR="00014908" w:rsidRDefault="00014908" w:rsidP="00014908">
      <w:pPr>
        <w:jc w:val="both"/>
        <w:rPr>
          <w:sz w:val="24"/>
          <w:szCs w:val="24"/>
        </w:rPr>
      </w:pPr>
    </w:p>
    <w:p w14:paraId="7BDCB53F" w14:textId="77777777" w:rsidR="00014908" w:rsidRPr="005050F9" w:rsidRDefault="00014908" w:rsidP="00014908">
      <w:pPr>
        <w:jc w:val="center"/>
        <w:rPr>
          <w:sz w:val="24"/>
          <w:szCs w:val="24"/>
        </w:rPr>
      </w:pPr>
      <w:r w:rsidRPr="005050F9">
        <w:rPr>
          <w:b/>
          <w:bCs/>
          <w:sz w:val="24"/>
          <w:szCs w:val="24"/>
        </w:rPr>
        <w:t>ZAKLJUČCI POVJERENSTVA ZA OSIGURAVANJE I UNAPREĐIVANJE KVALITETE</w:t>
      </w:r>
    </w:p>
    <w:p w14:paraId="5D223AEE" w14:textId="5DB3368E" w:rsidR="00014908" w:rsidRPr="005050F9" w:rsidRDefault="00014908" w:rsidP="00014908">
      <w:pPr>
        <w:jc w:val="both"/>
        <w:rPr>
          <w:sz w:val="24"/>
          <w:szCs w:val="24"/>
        </w:rPr>
      </w:pPr>
      <w:r w:rsidRPr="00DF5C78">
        <w:rPr>
          <w:sz w:val="24"/>
          <w:szCs w:val="24"/>
        </w:rPr>
        <w:lastRenderedPageBreak/>
        <w:t xml:space="preserve">Prema dostupnim podatcima i analizama, koje ovdje donosimo u skraćenom obliku, a cjeloviti su podatci dostupni u Uredu za kvalitetu, Povjerenstvo za osiguravanje i unapređivanje kvalitete zaključuje da </w:t>
      </w:r>
      <w:r w:rsidR="00DF5C78">
        <w:rPr>
          <w:sz w:val="24"/>
          <w:szCs w:val="24"/>
        </w:rPr>
        <w:t>je</w:t>
      </w:r>
      <w:r w:rsidRPr="00DF5C78">
        <w:rPr>
          <w:sz w:val="24"/>
          <w:szCs w:val="24"/>
        </w:rPr>
        <w:t xml:space="preserve"> mentorski sustav općenito, unatoč </w:t>
      </w:r>
      <w:proofErr w:type="spellStart"/>
      <w:r w:rsidRPr="00DF5C78">
        <w:rPr>
          <w:sz w:val="24"/>
          <w:szCs w:val="24"/>
        </w:rPr>
        <w:t>pandemijskim</w:t>
      </w:r>
      <w:proofErr w:type="spellEnd"/>
      <w:r w:rsidRPr="00DF5C78">
        <w:rPr>
          <w:sz w:val="24"/>
          <w:szCs w:val="24"/>
        </w:rPr>
        <w:t xml:space="preserve"> uvjetima rada, uspješno funkcionirao. Osobito ističemo pozitivan trend koji je zabilježen u akademskoj godini 20</w:t>
      </w:r>
      <w:r w:rsidR="00515F38" w:rsidRPr="00DF5C78">
        <w:rPr>
          <w:sz w:val="24"/>
          <w:szCs w:val="24"/>
        </w:rPr>
        <w:t>20</w:t>
      </w:r>
      <w:r w:rsidRPr="00DF5C78">
        <w:rPr>
          <w:sz w:val="24"/>
          <w:szCs w:val="24"/>
        </w:rPr>
        <w:t>./202</w:t>
      </w:r>
      <w:r w:rsidR="00515F38" w:rsidRPr="00DF5C78">
        <w:rPr>
          <w:sz w:val="24"/>
          <w:szCs w:val="24"/>
        </w:rPr>
        <w:t>1</w:t>
      </w:r>
      <w:r w:rsidRPr="00DF5C78">
        <w:rPr>
          <w:sz w:val="24"/>
          <w:szCs w:val="24"/>
        </w:rPr>
        <w:t xml:space="preserve">., a odnosi se na odaziv studenata na mentorske sastanke koji su velikim dijelom realizirani virtualno. </w:t>
      </w:r>
      <w:r w:rsidR="00F36744">
        <w:rPr>
          <w:sz w:val="24"/>
          <w:szCs w:val="24"/>
        </w:rPr>
        <w:t>Unatoč</w:t>
      </w:r>
      <w:r w:rsidRPr="00DF5C78">
        <w:rPr>
          <w:sz w:val="24"/>
          <w:szCs w:val="24"/>
        </w:rPr>
        <w:t xml:space="preserve"> izvanrednim uvjetima rada,</w:t>
      </w:r>
      <w:r w:rsidR="00F36744">
        <w:rPr>
          <w:sz w:val="24"/>
          <w:szCs w:val="24"/>
        </w:rPr>
        <w:t xml:space="preserve"> uz nekoliko iznimaka,</w:t>
      </w:r>
      <w:r w:rsidRPr="00DF5C78">
        <w:rPr>
          <w:sz w:val="24"/>
          <w:szCs w:val="24"/>
        </w:rPr>
        <w:t xml:space="preserve"> poštovana je vremenska i tematska organizacija mentorskih sastanaka, a za pohvalu je i pojačani angažman dijela mentora u odazivu na individualno </w:t>
      </w:r>
      <w:proofErr w:type="spellStart"/>
      <w:r w:rsidRPr="00DF5C78">
        <w:rPr>
          <w:sz w:val="24"/>
          <w:szCs w:val="24"/>
        </w:rPr>
        <w:t>mentoriranje</w:t>
      </w:r>
      <w:proofErr w:type="spellEnd"/>
      <w:r w:rsidR="00437373">
        <w:rPr>
          <w:sz w:val="24"/>
          <w:szCs w:val="24"/>
        </w:rPr>
        <w:t xml:space="preserve"> te u poticanju studenata na odaziv na mentorske sastanke</w:t>
      </w:r>
      <w:r w:rsidRPr="00DF5C78">
        <w:rPr>
          <w:sz w:val="24"/>
          <w:szCs w:val="24"/>
        </w:rPr>
        <w:t xml:space="preserve">. U navedenoj je akademskoj godini, unatoč specifičnim uvjetima, </w:t>
      </w:r>
      <w:r w:rsidR="002037F8">
        <w:rPr>
          <w:sz w:val="24"/>
          <w:szCs w:val="24"/>
        </w:rPr>
        <w:t>ostvaren</w:t>
      </w:r>
      <w:r w:rsidRPr="00DF5C78">
        <w:rPr>
          <w:sz w:val="24"/>
          <w:szCs w:val="24"/>
        </w:rPr>
        <w:t xml:space="preserve"> cilj kontinuiranog rada na učinkovitom i svrhovitom mentorskom sustavu</w:t>
      </w:r>
      <w:r w:rsidRPr="005050F9">
        <w:rPr>
          <w:sz w:val="24"/>
          <w:szCs w:val="24"/>
        </w:rPr>
        <w:t xml:space="preserve"> na Filozofskom fakultetu u Osijeku. </w:t>
      </w:r>
      <w:r w:rsidR="009B5CCA">
        <w:rPr>
          <w:sz w:val="24"/>
          <w:szCs w:val="24"/>
        </w:rPr>
        <w:t>Budući da je mentorski sustav podložan kontinuiranom poboljšavanju, predlažemo i organiziranje radionica i stručnog usavršavanja mentora.</w:t>
      </w:r>
    </w:p>
    <w:p w14:paraId="053B9ED8" w14:textId="77777777" w:rsidR="00014908" w:rsidRPr="005050F9" w:rsidRDefault="00014908" w:rsidP="00014908">
      <w:pPr>
        <w:jc w:val="right"/>
        <w:rPr>
          <w:sz w:val="24"/>
          <w:szCs w:val="24"/>
          <w:lang w:val="en-US"/>
        </w:rPr>
      </w:pPr>
      <w:proofErr w:type="spellStart"/>
      <w:r w:rsidRPr="009B5CCA">
        <w:rPr>
          <w:sz w:val="24"/>
          <w:szCs w:val="24"/>
        </w:rPr>
        <w:t>izv</w:t>
      </w:r>
      <w:proofErr w:type="spellEnd"/>
      <w:r w:rsidRPr="009B5CCA">
        <w:rPr>
          <w:sz w:val="24"/>
          <w:szCs w:val="24"/>
        </w:rPr>
        <w:t xml:space="preserve"> prof. dr. </w:t>
      </w:r>
      <w:proofErr w:type="spellStart"/>
      <w:r w:rsidRPr="009B5CCA">
        <w:rPr>
          <w:sz w:val="24"/>
          <w:szCs w:val="24"/>
        </w:rPr>
        <w:t>sc</w:t>
      </w:r>
      <w:proofErr w:type="spellEnd"/>
      <w:r w:rsidRPr="009B5CCA">
        <w:rPr>
          <w:sz w:val="24"/>
          <w:szCs w:val="24"/>
        </w:rPr>
        <w:t xml:space="preserve">. </w:t>
      </w:r>
      <w:r w:rsidRPr="005050F9">
        <w:rPr>
          <w:sz w:val="24"/>
          <w:szCs w:val="24"/>
          <w:lang w:val="en-US"/>
        </w:rPr>
        <w:t xml:space="preserve">Ivana </w:t>
      </w:r>
      <w:proofErr w:type="spellStart"/>
      <w:r w:rsidRPr="005050F9">
        <w:rPr>
          <w:sz w:val="24"/>
          <w:szCs w:val="24"/>
          <w:lang w:val="en-US"/>
        </w:rPr>
        <w:t>Jozić</w:t>
      </w:r>
      <w:proofErr w:type="spellEnd"/>
      <w:r w:rsidRPr="005050F9">
        <w:rPr>
          <w:sz w:val="24"/>
          <w:szCs w:val="24"/>
          <w:lang w:val="en-US"/>
        </w:rPr>
        <w:t xml:space="preserve">, </w:t>
      </w:r>
    </w:p>
    <w:p w14:paraId="5B498AE6" w14:textId="77777777" w:rsidR="00014908" w:rsidRPr="005050F9" w:rsidRDefault="00014908" w:rsidP="00014908">
      <w:pPr>
        <w:jc w:val="right"/>
        <w:rPr>
          <w:sz w:val="24"/>
          <w:szCs w:val="24"/>
          <w:lang w:val="en-US"/>
        </w:rPr>
      </w:pPr>
      <w:proofErr w:type="spellStart"/>
      <w:r w:rsidRPr="005050F9">
        <w:rPr>
          <w:sz w:val="24"/>
          <w:szCs w:val="24"/>
          <w:lang w:val="en-US"/>
        </w:rPr>
        <w:t>predsjednica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Povjerenstva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za</w:t>
      </w:r>
      <w:proofErr w:type="spellEnd"/>
      <w:r w:rsidRPr="005050F9">
        <w:rPr>
          <w:sz w:val="24"/>
          <w:szCs w:val="24"/>
          <w:lang w:val="en-US"/>
        </w:rPr>
        <w:t xml:space="preserve"> </w:t>
      </w:r>
    </w:p>
    <w:p w14:paraId="2F628FDE" w14:textId="77777777" w:rsidR="00014908" w:rsidRPr="001170E6" w:rsidRDefault="00014908" w:rsidP="00014908">
      <w:pPr>
        <w:jc w:val="right"/>
        <w:rPr>
          <w:sz w:val="24"/>
          <w:szCs w:val="24"/>
        </w:rPr>
      </w:pPr>
      <w:proofErr w:type="spellStart"/>
      <w:r w:rsidRPr="005050F9">
        <w:rPr>
          <w:sz w:val="24"/>
          <w:szCs w:val="24"/>
          <w:lang w:val="en-US"/>
        </w:rPr>
        <w:t>osiguravanje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i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unapređivanje</w:t>
      </w:r>
      <w:proofErr w:type="spellEnd"/>
      <w:r w:rsidRPr="005050F9">
        <w:rPr>
          <w:sz w:val="24"/>
          <w:szCs w:val="24"/>
          <w:lang w:val="en-US"/>
        </w:rPr>
        <w:t xml:space="preserve"> </w:t>
      </w:r>
      <w:proofErr w:type="spellStart"/>
      <w:r w:rsidRPr="005050F9">
        <w:rPr>
          <w:sz w:val="24"/>
          <w:szCs w:val="24"/>
          <w:lang w:val="en-US"/>
        </w:rPr>
        <w:t>kvalitete</w:t>
      </w:r>
      <w:proofErr w:type="spellEnd"/>
    </w:p>
    <w:p w14:paraId="21895B7F" w14:textId="77777777" w:rsidR="00F27F34" w:rsidRDefault="00F27F34"/>
    <w:sectPr w:rsidR="00F27F34" w:rsidSect="002D719D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3649" w14:textId="77777777" w:rsidR="00B778CF" w:rsidRDefault="00B778CF">
      <w:pPr>
        <w:spacing w:after="0" w:line="240" w:lineRule="auto"/>
      </w:pPr>
      <w:r>
        <w:separator/>
      </w:r>
    </w:p>
  </w:endnote>
  <w:endnote w:type="continuationSeparator" w:id="0">
    <w:p w14:paraId="035D4656" w14:textId="77777777" w:rsidR="00B778CF" w:rsidRDefault="00B7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5D708" w14:textId="77777777" w:rsidR="00B778CF" w:rsidRDefault="00B778CF">
      <w:pPr>
        <w:spacing w:after="0" w:line="240" w:lineRule="auto"/>
      </w:pPr>
      <w:r>
        <w:separator/>
      </w:r>
    </w:p>
  </w:footnote>
  <w:footnote w:type="continuationSeparator" w:id="0">
    <w:p w14:paraId="7FE5E7E2" w14:textId="77777777" w:rsidR="00B778CF" w:rsidRDefault="00B7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5675" w14:textId="77777777" w:rsidR="00F71FC4" w:rsidRDefault="00B778CF">
    <w:pPr>
      <w:pStyle w:val="Header"/>
    </w:pPr>
    <w:r>
      <w:rPr>
        <w:noProof/>
        <w:lang w:eastAsia="hr-HR"/>
      </w:rPr>
      <w:pict w14:anchorId="09A06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D6EC" w14:textId="77777777" w:rsidR="00F71FC4" w:rsidRDefault="00B778CF">
    <w:pPr>
      <w:pStyle w:val="Header"/>
    </w:pPr>
    <w:r>
      <w:rPr>
        <w:noProof/>
        <w:lang w:eastAsia="hr-HR"/>
      </w:rPr>
      <w:pict w14:anchorId="69A69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09DB" w14:textId="77777777" w:rsidR="00F71FC4" w:rsidRDefault="00B778CF">
    <w:pPr>
      <w:pStyle w:val="Header"/>
    </w:pPr>
    <w:r>
      <w:rPr>
        <w:noProof/>
        <w:lang w:eastAsia="hr-HR"/>
      </w:rPr>
      <w:pict w14:anchorId="384A7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510AEE">
      <w:rPr>
        <w:noProof/>
        <w:lang w:eastAsia="hr-HR"/>
      </w:rPr>
      <w:drawing>
        <wp:inline distT="0" distB="0" distL="0" distR="0" wp14:anchorId="07CEC2EA" wp14:editId="2218417C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BB"/>
    <w:rsid w:val="00014908"/>
    <w:rsid w:val="000474B6"/>
    <w:rsid w:val="0012662C"/>
    <w:rsid w:val="00146D84"/>
    <w:rsid w:val="001508B7"/>
    <w:rsid w:val="00181CA0"/>
    <w:rsid w:val="001A105E"/>
    <w:rsid w:val="002037F8"/>
    <w:rsid w:val="00374FB9"/>
    <w:rsid w:val="00382D14"/>
    <w:rsid w:val="003E081F"/>
    <w:rsid w:val="003F5081"/>
    <w:rsid w:val="00426FFC"/>
    <w:rsid w:val="00437373"/>
    <w:rsid w:val="00443C8E"/>
    <w:rsid w:val="004C6070"/>
    <w:rsid w:val="004D5667"/>
    <w:rsid w:val="00510AEE"/>
    <w:rsid w:val="00515F38"/>
    <w:rsid w:val="005C6EE5"/>
    <w:rsid w:val="00613929"/>
    <w:rsid w:val="0068690B"/>
    <w:rsid w:val="006E43E2"/>
    <w:rsid w:val="007C7564"/>
    <w:rsid w:val="00874FBB"/>
    <w:rsid w:val="0088458F"/>
    <w:rsid w:val="009407EE"/>
    <w:rsid w:val="009B3F1C"/>
    <w:rsid w:val="009B5CCA"/>
    <w:rsid w:val="009C6ACB"/>
    <w:rsid w:val="00A03EBD"/>
    <w:rsid w:val="00A45E5F"/>
    <w:rsid w:val="00A52E06"/>
    <w:rsid w:val="00A552C6"/>
    <w:rsid w:val="00AD5DA3"/>
    <w:rsid w:val="00AE4285"/>
    <w:rsid w:val="00B0589F"/>
    <w:rsid w:val="00B33B99"/>
    <w:rsid w:val="00B40C58"/>
    <w:rsid w:val="00B41676"/>
    <w:rsid w:val="00B778CF"/>
    <w:rsid w:val="00B94296"/>
    <w:rsid w:val="00B96659"/>
    <w:rsid w:val="00B9698B"/>
    <w:rsid w:val="00BD027F"/>
    <w:rsid w:val="00BE40C2"/>
    <w:rsid w:val="00C147E6"/>
    <w:rsid w:val="00CB77B9"/>
    <w:rsid w:val="00D11F9F"/>
    <w:rsid w:val="00D90E30"/>
    <w:rsid w:val="00DF5C78"/>
    <w:rsid w:val="00E24CC8"/>
    <w:rsid w:val="00E321A6"/>
    <w:rsid w:val="00EF4F15"/>
    <w:rsid w:val="00F108F6"/>
    <w:rsid w:val="00F27F34"/>
    <w:rsid w:val="00F36744"/>
    <w:rsid w:val="00F44897"/>
    <w:rsid w:val="00F96C70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DC07BE"/>
  <w15:chartTrackingRefBased/>
  <w15:docId w15:val="{A61CF702-5231-4576-9C7E-5C5E4DE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0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908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14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908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0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Desktop\Obrada%20mentorskih%20izvjesca%202020.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ODSJECI I </a:t>
            </a:r>
            <a:r>
              <a:rPr lang="hr-HR"/>
              <a:t>katedre</a:t>
            </a:r>
            <a:r>
              <a:rPr lang="en-US"/>
              <a:t> -PROSJEČAN BROJ STUDENATA PO MENTORU</a:t>
            </a:r>
            <a:r>
              <a:rPr lang="hr-HR"/>
              <a:t> u akad. 2020./2021.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503-4F82-8954-9D3D0EB6657E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503-4F82-8954-9D3D0EB6657E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503-4F82-8954-9D3D0EB6657E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503-4F82-8954-9D3D0EB6657E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503-4F82-8954-9D3D0EB6657E}"/>
              </c:ext>
            </c:extLst>
          </c:dPt>
          <c:dPt>
            <c:idx val="5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503-4F82-8954-9D3D0EB6657E}"/>
              </c:ext>
            </c:extLst>
          </c:dPt>
          <c:dPt>
            <c:idx val="6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503-4F82-8954-9D3D0EB6657E}"/>
              </c:ext>
            </c:extLst>
          </c:dPt>
          <c:dPt>
            <c:idx val="7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503-4F82-8954-9D3D0EB6657E}"/>
              </c:ext>
            </c:extLst>
          </c:dPt>
          <c:dPt>
            <c:idx val="8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A503-4F82-8954-9D3D0EB665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'MENTORSKA IZVJEŠĆA 2020'!$A$5:$A$14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2020'!$B$5:$B$14</c:f>
              <c:numCache>
                <c:formatCode>_(* #,##0.00_);_(* \(#,##0.00\);_(* "-"??_);_(@_)</c:formatCode>
                <c:ptCount val="10"/>
                <c:pt idx="0">
                  <c:v>13</c:v>
                </c:pt>
                <c:pt idx="1">
                  <c:v>16</c:v>
                </c:pt>
                <c:pt idx="2">
                  <c:v>37</c:v>
                </c:pt>
                <c:pt idx="3">
                  <c:v>38</c:v>
                </c:pt>
                <c:pt idx="4">
                  <c:v>13</c:v>
                </c:pt>
                <c:pt idx="5">
                  <c:v>34</c:v>
                </c:pt>
                <c:pt idx="6">
                  <c:v>18</c:v>
                </c:pt>
                <c:pt idx="7">
                  <c:v>22</c:v>
                </c:pt>
                <c:pt idx="8">
                  <c:v>72</c:v>
                </c:pt>
                <c:pt idx="9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503-4F82-8954-9D3D0EB66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928715392"/>
        <c:axId val="-928870624"/>
        <c:axId val="0"/>
      </c:bar3DChart>
      <c:catAx>
        <c:axId val="-9287153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28870624"/>
        <c:crosses val="autoZero"/>
        <c:auto val="1"/>
        <c:lblAlgn val="ctr"/>
        <c:lblOffset val="100"/>
        <c:noMultiLvlLbl val="0"/>
      </c:catAx>
      <c:valAx>
        <c:axId val="-92887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2871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 Prosječan odaziv studenata na mentorske sastanke po odsjecima i katedrama u akademskoj godini  2020./2021.</a:t>
            </a:r>
          </a:p>
        </c:rich>
      </c:tx>
      <c:layout>
        <c:manualLayout>
          <c:xMode val="edge"/>
          <c:yMode val="edge"/>
          <c:x val="0.14369241929633661"/>
          <c:y val="1.2232415902140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364902815275237E-2"/>
          <c:y val="0.12669962855360967"/>
          <c:w val="0.90168592058545227"/>
          <c:h val="0.60397448137791754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670-419F-9905-9DC7091A39F6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670-419F-9905-9DC7091A39F6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C670-419F-9905-9DC7091A39F6}"/>
              </c:ext>
            </c:extLst>
          </c:dPt>
          <c:dPt>
            <c:idx val="3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C670-419F-9905-9DC7091A39F6}"/>
              </c:ext>
            </c:extLst>
          </c:dPt>
          <c:dPt>
            <c:idx val="4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670-419F-9905-9DC7091A39F6}"/>
              </c:ext>
            </c:extLst>
          </c:dPt>
          <c:dPt>
            <c:idx val="5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C670-419F-9905-9DC7091A39F6}"/>
              </c:ext>
            </c:extLst>
          </c:dPt>
          <c:dPt>
            <c:idx val="6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C670-419F-9905-9DC7091A39F6}"/>
              </c:ext>
            </c:extLst>
          </c:dPt>
          <c:dPt>
            <c:idx val="7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C670-419F-9905-9DC7091A39F6}"/>
              </c:ext>
            </c:extLst>
          </c:dPt>
          <c:dPt>
            <c:idx val="8"/>
            <c:invertIfNegative val="0"/>
            <c:bubble3D val="0"/>
            <c:spPr>
              <a:gradFill>
                <a:gsLst>
                  <a:gs pos="100000">
                    <a:schemeClr val="accent4">
                      <a:alpha val="0"/>
                    </a:schemeClr>
                  </a:gs>
                  <a:gs pos="50000">
                    <a:schemeClr val="accent4"/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C670-419F-9905-9DC7091A39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'MENTORSKA IZVJEŠĆA 2020'!$A$5:$A$14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2020'!$I$5:$I$14</c:f>
              <c:numCache>
                <c:formatCode>0.00%</c:formatCode>
                <c:ptCount val="10"/>
                <c:pt idx="0">
                  <c:v>0.59499999999999997</c:v>
                </c:pt>
                <c:pt idx="1">
                  <c:v>0.42149999999999999</c:v>
                </c:pt>
                <c:pt idx="2">
                  <c:v>0.69159999999999999</c:v>
                </c:pt>
                <c:pt idx="3">
                  <c:v>1</c:v>
                </c:pt>
                <c:pt idx="4">
                  <c:v>0.60960000000000003</c:v>
                </c:pt>
                <c:pt idx="5">
                  <c:v>0.80669999999999997</c:v>
                </c:pt>
                <c:pt idx="6">
                  <c:v>0.60750000000000004</c:v>
                </c:pt>
                <c:pt idx="7">
                  <c:v>0.68120000000000003</c:v>
                </c:pt>
                <c:pt idx="8">
                  <c:v>0.94</c:v>
                </c:pt>
                <c:pt idx="9">
                  <c:v>0.69750000000000001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670-419F-9905-9DC7091A3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757911344"/>
        <c:axId val="-757906992"/>
        <c:axId val="0"/>
      </c:bar3DChart>
      <c:catAx>
        <c:axId val="-75791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7906992"/>
        <c:crosses val="autoZero"/>
        <c:auto val="1"/>
        <c:lblAlgn val="ctr"/>
        <c:lblOffset val="100"/>
        <c:noMultiLvlLbl val="0"/>
      </c:catAx>
      <c:valAx>
        <c:axId val="-7579069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75791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01022361287815E-2"/>
          <c:y val="0.25193798449612403"/>
          <c:w val="0.88746105972561296"/>
          <c:h val="0.309265397057925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'MENTORSKA IZVJEŠĆA 2020'!$B$73</c:f>
              <c:strCache>
                <c:ptCount val="1"/>
                <c:pt idx="0">
                  <c:v>2016./17.</c:v>
                </c:pt>
              </c:strCache>
            </c:strRef>
          </c:tx>
          <c:spPr>
            <a:gradFill>
              <a:gsLst>
                <a:gs pos="100000">
                  <a:schemeClr val="accent4">
                    <a:tint val="54000"/>
                    <a:alpha val="0"/>
                  </a:schemeClr>
                </a:gs>
                <a:gs pos="50000">
                  <a:schemeClr val="accent4">
                    <a:tint val="54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53-46F8-8CC0-DEECA3F2882B}"/>
              </c:ext>
            </c:extLst>
          </c:dPt>
          <c:cat>
            <c:strRef>
              <c:f>'MENTORSKA IZVJEŠĆA 2020'!$A$74:$A$83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2020'!$B$74:$B$83</c:f>
              <c:numCache>
                <c:formatCode>0.00%</c:formatCode>
                <c:ptCount val="10"/>
                <c:pt idx="0">
                  <c:v>0.6764</c:v>
                </c:pt>
                <c:pt idx="1">
                  <c:v>0.73450000000000004</c:v>
                </c:pt>
                <c:pt idx="2">
                  <c:v>0.33129999999999998</c:v>
                </c:pt>
                <c:pt idx="3">
                  <c:v>0.75</c:v>
                </c:pt>
                <c:pt idx="4">
                  <c:v>0.48770000000000002</c:v>
                </c:pt>
                <c:pt idx="5">
                  <c:v>0.51929999999999998</c:v>
                </c:pt>
                <c:pt idx="6">
                  <c:v>0.4128</c:v>
                </c:pt>
                <c:pt idx="7">
                  <c:v>0.54139999999999999</c:v>
                </c:pt>
                <c:pt idx="8">
                  <c:v>0.75780000000000003</c:v>
                </c:pt>
                <c:pt idx="9">
                  <c:v>0.76190000000000002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3-46F8-8CC0-DEECA3F2882B}"/>
            </c:ext>
          </c:extLst>
        </c:ser>
        <c:ser>
          <c:idx val="1"/>
          <c:order val="1"/>
          <c:tx>
            <c:strRef>
              <c:f>'MENTORSKA IZVJEŠĆA 2020'!$C$73</c:f>
              <c:strCache>
                <c:ptCount val="1"/>
                <c:pt idx="0">
                  <c:v>2017./18.</c:v>
                </c:pt>
              </c:strCache>
            </c:strRef>
          </c:tx>
          <c:spPr>
            <a:gradFill>
              <a:gsLst>
                <a:gs pos="100000">
                  <a:schemeClr val="accent4">
                    <a:tint val="77000"/>
                    <a:alpha val="0"/>
                  </a:schemeClr>
                </a:gs>
                <a:gs pos="50000">
                  <a:schemeClr val="accent4">
                    <a:tint val="77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'MENTORSKA IZVJEŠĆA 2020'!$A$74:$A$83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2020'!$C$74:$C$83</c:f>
              <c:numCache>
                <c:formatCode>0.00%</c:formatCode>
                <c:ptCount val="10"/>
                <c:pt idx="0">
                  <c:v>0.58819999999999995</c:v>
                </c:pt>
                <c:pt idx="1">
                  <c:v>0.59499999999999997</c:v>
                </c:pt>
                <c:pt idx="2">
                  <c:v>0.66749999999999998</c:v>
                </c:pt>
                <c:pt idx="3">
                  <c:v>0.72</c:v>
                </c:pt>
                <c:pt idx="4">
                  <c:v>0.51870000000000005</c:v>
                </c:pt>
                <c:pt idx="5">
                  <c:v>0.59330000000000005</c:v>
                </c:pt>
                <c:pt idx="6">
                  <c:v>0.76670000000000005</c:v>
                </c:pt>
                <c:pt idx="7">
                  <c:v>0.52</c:v>
                </c:pt>
                <c:pt idx="8">
                  <c:v>0.85499999999999998</c:v>
                </c:pt>
                <c:pt idx="9">
                  <c:v>0.61799999999999999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53-46F8-8CC0-DEECA3F2882B}"/>
            </c:ext>
          </c:extLst>
        </c:ser>
        <c:ser>
          <c:idx val="2"/>
          <c:order val="2"/>
          <c:tx>
            <c:strRef>
              <c:f>'MENTORSKA IZVJEŠĆA 2020'!$D$73</c:f>
              <c:strCache>
                <c:ptCount val="1"/>
                <c:pt idx="0">
                  <c:v>2018./19</c:v>
                </c:pt>
              </c:strCache>
            </c:strRef>
          </c:tx>
          <c:spPr>
            <a:gradFill>
              <a:gsLst>
                <a:gs pos="100000">
                  <a:schemeClr val="accent4">
                    <a:alpha val="0"/>
                  </a:schemeClr>
                </a:gs>
                <a:gs pos="50000">
                  <a:schemeClr val="accent4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'MENTORSKA IZVJEŠĆA 2020'!$A$74:$A$83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2020'!$D$74:$D$83</c:f>
              <c:numCache>
                <c:formatCode>0.00%</c:formatCode>
                <c:ptCount val="10"/>
                <c:pt idx="0">
                  <c:v>0.57330000000000003</c:v>
                </c:pt>
                <c:pt idx="1">
                  <c:v>0.33400000000000002</c:v>
                </c:pt>
                <c:pt idx="2">
                  <c:v>0.48</c:v>
                </c:pt>
                <c:pt idx="3">
                  <c:v>1</c:v>
                </c:pt>
                <c:pt idx="4">
                  <c:v>0.53349999999999997</c:v>
                </c:pt>
                <c:pt idx="5">
                  <c:v>0.65290000000000004</c:v>
                </c:pt>
                <c:pt idx="6">
                  <c:v>0.27329999999999999</c:v>
                </c:pt>
                <c:pt idx="7">
                  <c:v>0.42380000000000001</c:v>
                </c:pt>
                <c:pt idx="8">
                  <c:v>0.78139999999999998</c:v>
                </c:pt>
                <c:pt idx="9">
                  <c:v>0.628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53-46F8-8CC0-DEECA3F2882B}"/>
            </c:ext>
          </c:extLst>
        </c:ser>
        <c:ser>
          <c:idx val="3"/>
          <c:order val="3"/>
          <c:tx>
            <c:strRef>
              <c:f>'MENTORSKA IZVJEŠĆA 2020'!$E$73</c:f>
              <c:strCache>
                <c:ptCount val="1"/>
                <c:pt idx="0">
                  <c:v>2019./20.</c:v>
                </c:pt>
              </c:strCache>
            </c:strRef>
          </c:tx>
          <c:spPr>
            <a:gradFill>
              <a:gsLst>
                <a:gs pos="100000">
                  <a:schemeClr val="accent4">
                    <a:shade val="76000"/>
                    <a:alpha val="0"/>
                  </a:schemeClr>
                </a:gs>
                <a:gs pos="50000">
                  <a:schemeClr val="accent4">
                    <a:shade val="76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'MENTORSKA IZVJEŠĆA 2020'!$A$74:$A$83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2020'!$E$74:$E$83</c:f>
              <c:numCache>
                <c:formatCode>0.00%</c:formatCode>
                <c:ptCount val="10"/>
                <c:pt idx="0">
                  <c:v>0.68859999999999999</c:v>
                </c:pt>
                <c:pt idx="1">
                  <c:v>0.83550000000000002</c:v>
                </c:pt>
                <c:pt idx="2">
                  <c:v>0.68859999999999999</c:v>
                </c:pt>
                <c:pt idx="3">
                  <c:v>0.78669999999999995</c:v>
                </c:pt>
                <c:pt idx="4">
                  <c:v>0.40939999999999999</c:v>
                </c:pt>
                <c:pt idx="5">
                  <c:v>0.83550000000000002</c:v>
                </c:pt>
                <c:pt idx="6">
                  <c:v>0.28999999999999998</c:v>
                </c:pt>
                <c:pt idx="7">
                  <c:v>0.60099999999999998</c:v>
                </c:pt>
                <c:pt idx="8">
                  <c:v>0.80020000000000002</c:v>
                </c:pt>
                <c:pt idx="9">
                  <c:v>0.71630000000000005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53-46F8-8CC0-DEECA3F2882B}"/>
            </c:ext>
          </c:extLst>
        </c:ser>
        <c:ser>
          <c:idx val="4"/>
          <c:order val="4"/>
          <c:tx>
            <c:strRef>
              <c:f>'MENTORSKA IZVJEŠĆA 2020'!$F$73</c:f>
              <c:strCache>
                <c:ptCount val="1"/>
                <c:pt idx="0">
                  <c:v>2020./21.</c:v>
                </c:pt>
              </c:strCache>
            </c:strRef>
          </c:tx>
          <c:spPr>
            <a:gradFill>
              <a:gsLst>
                <a:gs pos="100000">
                  <a:schemeClr val="accent4">
                    <a:shade val="53000"/>
                    <a:alpha val="0"/>
                  </a:schemeClr>
                </a:gs>
                <a:gs pos="50000">
                  <a:schemeClr val="accent4">
                    <a:shade val="53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'MENTORSKA IZVJEŠĆA 2020'!$A$74:$A$83</c:f>
              <c:strCache>
                <c:ptCount val="10"/>
                <c:pt idx="0">
                  <c:v>ENGLESKI JEZIK I KNJIŽEVNOST</c:v>
                </c:pt>
                <c:pt idx="1">
                  <c:v>FILOZOFIJA </c:v>
                </c:pt>
                <c:pt idx="2">
                  <c:v>HRVATSKI JEZIK I KNJIŽEVNOST</c:v>
                </c:pt>
                <c:pt idx="3">
                  <c:v>SOCIOLOGIJA</c:v>
                </c:pt>
                <c:pt idx="4">
                  <c:v>INFORMACIJSKE ZNANOSTI </c:v>
                </c:pt>
                <c:pt idx="5">
                  <c:v>NJEMAČKI JEZIK I KNJIŽEVNOST</c:v>
                </c:pt>
                <c:pt idx="6">
                  <c:v>PEDAGOGIJA </c:v>
                </c:pt>
                <c:pt idx="7">
                  <c:v>POVIJEST </c:v>
                </c:pt>
                <c:pt idx="8">
                  <c:v>PSIHOLOGIJA</c:v>
                </c:pt>
                <c:pt idx="9">
                  <c:v>MAĐARSKI JEZIK I KNJIŽEVNOST</c:v>
                </c:pt>
              </c:strCache>
            </c:strRef>
          </c:cat>
          <c:val>
            <c:numRef>
              <c:f>'MENTORSKA IZVJEŠĆA 2020'!$F$74:$F$83</c:f>
              <c:numCache>
                <c:formatCode>0.00%</c:formatCode>
                <c:ptCount val="10"/>
                <c:pt idx="0">
                  <c:v>0.59499999999999997</c:v>
                </c:pt>
                <c:pt idx="1">
                  <c:v>0.42149999999999999</c:v>
                </c:pt>
                <c:pt idx="2">
                  <c:v>0.69159999999999999</c:v>
                </c:pt>
                <c:pt idx="3">
                  <c:v>1</c:v>
                </c:pt>
                <c:pt idx="4">
                  <c:v>0.60960000000000003</c:v>
                </c:pt>
                <c:pt idx="5">
                  <c:v>0.80669999999999997</c:v>
                </c:pt>
                <c:pt idx="6">
                  <c:v>0.60750000000000004</c:v>
                </c:pt>
                <c:pt idx="7">
                  <c:v>0.68120000000000003</c:v>
                </c:pt>
                <c:pt idx="8">
                  <c:v>0.94</c:v>
                </c:pt>
                <c:pt idx="9">
                  <c:v>0.69750000000000001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53-46F8-8CC0-DEECA3F28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49911807"/>
        <c:axId val="1749901823"/>
        <c:axId val="0"/>
      </c:bar3DChart>
      <c:catAx>
        <c:axId val="174991180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Usporedni prikaz odaziva studenata na mentorske sastanke i individualna mentoriranja od akademske godine 201</a:t>
                </a:r>
                <a:r>
                  <a:rPr lang="hr-HR"/>
                  <a:t>7</a:t>
                </a:r>
                <a:r>
                  <a:rPr lang="en-US"/>
                  <a:t>./201</a:t>
                </a:r>
                <a:r>
                  <a:rPr lang="hr-HR"/>
                  <a:t>8</a:t>
                </a:r>
                <a:r>
                  <a:rPr lang="en-US"/>
                  <a:t>. </a:t>
                </a:r>
              </a:p>
            </c:rich>
          </c:tx>
          <c:layout>
            <c:manualLayout>
              <c:xMode val="edge"/>
              <c:yMode val="edge"/>
              <c:x val="8.3813651137594813E-2"/>
              <c:y val="9.7708863315162514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49901823"/>
        <c:crosses val="autoZero"/>
        <c:auto val="1"/>
        <c:lblAlgn val="ctr"/>
        <c:lblOffset val="100"/>
        <c:noMultiLvlLbl val="0"/>
      </c:catAx>
      <c:valAx>
        <c:axId val="1749901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49911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2022-04-28T12:48:00Z</dcterms:created>
  <dcterms:modified xsi:type="dcterms:W3CDTF">2022-04-28T12:48:00Z</dcterms:modified>
</cp:coreProperties>
</file>