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ENGLESKI JEZIK I KNJIŽEVNOST</w:t>
        <w:tab/>
        <w:tab/>
        <w:tab/>
        <w:tab/>
        <w:tab/>
        <w:tab/>
        <w:tab/>
        <w:tab/>
        <w:t xml:space="preserve">lipanj 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(dvopredmetni diplomski studij)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-720"/>
        </w:tabs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IZVEDBENI PLAN STUDIJA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-prevoditeljski smjer-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I. GODINA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5217"/>
        </w:tabs>
        <w:ind w:left="1080" w:firstLine="0"/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I. zimski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4068"/>
        <w:gridCol w:w="600"/>
        <w:gridCol w:w="600"/>
        <w:gridCol w:w="570"/>
        <w:gridCol w:w="750"/>
        <w:gridCol w:w="4141"/>
        <w:gridCol w:w="11"/>
        <w:tblGridChange w:id="0">
          <w:tblGrid>
            <w:gridCol w:w="4068"/>
            <w:gridCol w:w="600"/>
            <w:gridCol w:w="600"/>
            <w:gridCol w:w="570"/>
            <w:gridCol w:w="750"/>
            <w:gridCol w:w="4141"/>
            <w:gridCol w:w="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KOLEGIJ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SATI TJEDNO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NASTAVNIK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Nositelj kolegija ili izvođač dijela nastave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Hrvatski jezik za prevoditelje 1*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Branimir Belaj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Pregled razvoja znanosti o prevođenju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Goran Schmidt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Književno prevođenje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Romana Čačija, viša lektorica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IZBORNI KOLEGIJI (biraju se dva, studenti Hrvatskoga biraju tri)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Prevođenje i europske integracije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Blaženka Šoštarić, viša lektorica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Korpusna lingvistika za prevoditelje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 dr. sc. Goran Schmidt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Znanstveno i tehničko prevođenje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Dubravka Vidaković Erdeljić</w:t>
            </w:r>
          </w:p>
        </w:tc>
      </w:tr>
      <w:tr>
        <w:trPr>
          <w:cantSplit w:val="0"/>
          <w:trHeight w:val="191.98242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Kognitivna lingvistika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Mario Brdar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rHeight w:val="221.9824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Njemački jezik (za početnike)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dr. sc. Ninočka Truck-Biljan, viša predavačica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center" w:leader="none" w:pos="5217"/>
        </w:tabs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5217"/>
        </w:tabs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NAPOMENE: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u semestru mora ostvariti najmanje 15 ECTS bodova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kroz obveznu i izbornu nastavu iz sadržaja obuhvaćenih studijskim programom. Student bira onoliko izbornih kolegija koliko mu je potrebno da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 razini akademske godine ostvari najmanje 30 ECTS bodova u okviru studija Engleskog jezika i književnosti.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stječe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10 ECTS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bodova kroz obvezne kolegije. Student bira onoliko izbornih kolegija onoliko koliko mu je potrebno da ostvari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najmanje 15 ECTS bodova u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center" w:leader="none" w:pos="5217"/>
        </w:tabs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center" w:leader="none" w:pos="5217"/>
        </w:tabs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II. ljetni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108.0" w:type="dxa"/>
        <w:tblLayout w:type="fixed"/>
        <w:tblLook w:val="0000"/>
      </w:tblPr>
      <w:tblGrid>
        <w:gridCol w:w="4068"/>
        <w:gridCol w:w="600"/>
        <w:gridCol w:w="600"/>
        <w:gridCol w:w="570"/>
        <w:gridCol w:w="750"/>
        <w:gridCol w:w="4141"/>
        <w:gridCol w:w="11"/>
        <w:tblGridChange w:id="0">
          <w:tblGrid>
            <w:gridCol w:w="4068"/>
            <w:gridCol w:w="600"/>
            <w:gridCol w:w="600"/>
            <w:gridCol w:w="570"/>
            <w:gridCol w:w="750"/>
            <w:gridCol w:w="4141"/>
            <w:gridCol w:w="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KOLEGIJ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SATI TJEDNO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NASTAVNIK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Nositelj kolegija ili izvođač dijela nastave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Hrvatski jezik za prevoditelje 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Branimir Belaj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Suvremena znanost o prevođenju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Goran Schmidt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Prevođenje jezika medija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Goran Schmidt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IZBORNI KOLEGIJI (biraju se dva, studenti Hrvatskoga i Njemačkoga jezika biraju tri)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Prijevodne tehnologije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Marija Omazić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Osnove terminologije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Marija Omazić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Prevođenje tekstova ekonomske struke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Dubravka Vidaković Erdeljić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Kulturalna pismenost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Goran Schmidt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Njemački jezik (za početnike)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dr. sc. Ninočka Truck-Biljan, viša predavačica</w:t>
            </w:r>
          </w:p>
        </w:tc>
      </w:tr>
    </w:tbl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NAPOMENE: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u semestru mora ostvariti najmanje 15 ECTS bodova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kroz obveznu i izbornu nastavu iz sadržaja obuhvaćenih studijskim programom. Student bira onoliko izbornih kolegija koliko mu je potrebno da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 razini akademske godine ostvari najmanje 30 ECTS bodova u okviru studija Engleskog jezika i književnosti.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stječe 9 ECTS bodova kroz obvezne kolegije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 Student bira onoliko izbornih kolegija onoliko koliko mu je potrebno da ostvari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najmanje 15 ECTS bodova u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*Studenti dvopredmetnog studija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Engleskog jezika i književnosti i Njemačkog jezika i književnosti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prevoditeljskog usmjerenja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biraju u okviru kojeg studija žele slušati kolegij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Hrvatski jezik za prevoditelje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Kod te studijske kombinacije bodovi za kolegij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Pregled razvoja znanosti o prevođenju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u zimskom semestru pribrajaju se studiju engleskog jezika, dok se bodovi za kolegij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Suvremena znanost o prevođenju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u ljetnom semestru pribrajaju studiju njemačkog jezika i književnosti. Razliku bodova na studiju engleskog jezika student nadoknađuje odabirom dodatnog izbornog kolegija.</w:t>
      </w:r>
    </w:p>
    <w:p w:rsidR="00000000" w:rsidDel="00000000" w:rsidP="00000000" w:rsidRDefault="00000000" w:rsidRPr="00000000" w14:paraId="000000FE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*Studenti dvopredmetnog studija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Engleskog jezika i književnosti i Hrvatskog jezika i književnosti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prevoditeljskog usmjerenja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ne biraju kolegij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Hrvatski jezik za prevoditelje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, nego dodatne izborne kolegije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ECTS bodovi predviđeni za akademsku godinu moraju se u okviru nje i ostvariti – nedostatci se ne mogu prenositi u novu akademsku godinu niti se u novoj akademskoj godini mogu nadoknađivati.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Student na razini godine ne može imati manje od 30 ECTS bodova, ali može ostvariti dodatne ECTS bodove. Ti se dodatni bodovi ne mogu koristiti za nadoknadu nedostataka u sljedećoj akademskoj godini.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ENGLESKI JEZIK I KNJIŽEVNOST</w:t>
        <w:tab/>
        <w:tab/>
        <w:tab/>
        <w:tab/>
        <w:tab/>
        <w:tab/>
        <w:tab/>
        <w:tab/>
        <w:t xml:space="preserve">lipanj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(dvopredmetni diplomski studij)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-720"/>
        </w:tabs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IZVEDBENI PLAN STUDIJA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-prevoditeljski smjer-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II. GODINA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III. zimski semestar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center" w:leader="none" w:pos="5217"/>
        </w:tabs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-108.0" w:type="dxa"/>
        <w:tblLayout w:type="fixed"/>
        <w:tblLook w:val="0000"/>
      </w:tblPr>
      <w:tblGrid>
        <w:gridCol w:w="4068"/>
        <w:gridCol w:w="600"/>
        <w:gridCol w:w="600"/>
        <w:gridCol w:w="570"/>
        <w:gridCol w:w="750"/>
        <w:gridCol w:w="4141"/>
        <w:gridCol w:w="11"/>
        <w:tblGridChange w:id="0">
          <w:tblGrid>
            <w:gridCol w:w="4068"/>
            <w:gridCol w:w="600"/>
            <w:gridCol w:w="600"/>
            <w:gridCol w:w="570"/>
            <w:gridCol w:w="750"/>
            <w:gridCol w:w="4141"/>
            <w:gridCol w:w="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KOLEGIJ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SATI TJEDNO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NASTAVNIK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Nositelj kolegija ili izvođač dijela nastave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Osnove konsekutivnog prevođenja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2(2)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Marija Omazić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Osnove simultanog prevođenja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2(2)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Marija Omazić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IZBORNI KOLEGIJI (biraju se dva)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Prevođenje i europske integracije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Blaženka Šoštarić, viša lektorica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Korpusna lingvistika za prevoditelje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Goran Schmidt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Znanstveno i tehničko prevođenje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izv. prof. dr. sc. Dubravka Vidaković Erdeljić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Kognitivna lingvistika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Mario Brdar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Poljski jezik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Małgorzata Stanisz Hanžek, lektorica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Njemački jezik (za početnike)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dr. sc. Ninočka Truck-Biljan, viša predavačica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NAPOMENE: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u semestru mora ostvariti najmanje 15 ECTS bodova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kroz obveznu i izbornu nastavu iz sadržaja obuhvaćenih studijskim programom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cyan"/>
          <w:vertAlign w:val="baseline"/>
          <w:rtl w:val="0"/>
        </w:rPr>
        <w:t xml:space="preserve">ako u ljetnom semestru ne namjerava upisati kolegij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highlight w:val="cyan"/>
          <w:vertAlign w:val="baseline"/>
          <w:rtl w:val="0"/>
        </w:rPr>
        <w:t xml:space="preserve">Prevoditeljska praksa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cyan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bira onoliko izbornih kolegija koliko mu je potrebno da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 razini akademske godine ostvari najmanje 30 ECTS bodova u okviru studija Engleskog jezika i književnosti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1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stječe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9 ECTS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bodova kroz obvezne predmete. Student bira onoliko izbornih kolegija onoliko koliko mu je potrebno da ostvari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najmanje 15 ECTS bodova u semestru.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IV. ljetni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-108.0" w:type="dxa"/>
        <w:tblLayout w:type="fixed"/>
        <w:tblLook w:val="0000"/>
      </w:tblPr>
      <w:tblGrid>
        <w:gridCol w:w="4068"/>
        <w:gridCol w:w="600"/>
        <w:gridCol w:w="600"/>
        <w:gridCol w:w="570"/>
        <w:gridCol w:w="750"/>
        <w:gridCol w:w="4141"/>
        <w:gridCol w:w="11"/>
        <w:tblGridChange w:id="0">
          <w:tblGrid>
            <w:gridCol w:w="4068"/>
            <w:gridCol w:w="600"/>
            <w:gridCol w:w="600"/>
            <w:gridCol w:w="570"/>
            <w:gridCol w:w="750"/>
            <w:gridCol w:w="4141"/>
            <w:gridCol w:w="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KOLEGIJ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SATI TJEDNO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NASTAVNIK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Nositelj kolegija ili izvođač dijela nastave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Diplomski rad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mentor/mentorica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IZBORNI KOLEGIJ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Prevoditeljska praksa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prof. dr. sc. Marija Omazić</w:t>
            </w:r>
          </w:p>
        </w:tc>
      </w:tr>
    </w:tbl>
    <w:p w:rsidR="00000000" w:rsidDel="00000000" w:rsidP="00000000" w:rsidRDefault="00000000" w:rsidRPr="00000000" w14:paraId="000001BB">
      <w:pPr>
        <w:tabs>
          <w:tab w:val="left" w:leader="none" w:pos="-720"/>
        </w:tabs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NAPOMENE: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-720"/>
        </w:tabs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ECTS bodovi diplomskog rada dijele se na dva studija (15+15).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u semestru mora ostvariti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najmanje 15 ECTS bodova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kroz obveznu nastavu iz sadržaja obuhvaćenih studijskim programom.</w:t>
      </w:r>
    </w:p>
    <w:p w:rsidR="00000000" w:rsidDel="00000000" w:rsidP="00000000" w:rsidRDefault="00000000" w:rsidRPr="00000000" w14:paraId="000001C3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vertAlign w:val="baseline"/>
          <w:rtl w:val="0"/>
        </w:rPr>
        <w:t xml:space="preserve">Nastava iz kolegija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highlight w:val="white"/>
          <w:vertAlign w:val="baseline"/>
          <w:rtl w:val="0"/>
        </w:rPr>
        <w:t xml:space="preserve">Prevoditeljska praksa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vertAlign w:val="baseline"/>
          <w:rtl w:val="0"/>
        </w:rPr>
        <w:t xml:space="preserve"> u cijelosti se održava na radilištima (180 sati) uz koordinaciju voditelja kroz 1 sat (V) tjedno.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leader="none" w:pos="-72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leader="none" w:pos="-72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Student u IV. semestru može birati i bilo koji kolegij ponuđen u II. semestru ukoliko ima slobodnih mjesta.</w:t>
      </w:r>
    </w:p>
    <w:p w:rsidR="00000000" w:rsidDel="00000000" w:rsidP="00000000" w:rsidRDefault="00000000" w:rsidRPr="00000000" w14:paraId="000001C7">
      <w:pPr>
        <w:tabs>
          <w:tab w:val="left" w:leader="none" w:pos="-72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Kod dvopredmetnih diplomskih studija u kojima se kombiniraju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nastavnički i nenastavnički smjer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ECTS bodovi kolegija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Psihologija odgoja i obrazovanja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Pedagogija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Didaktika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ne dijele se između smjerova, već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ukupnim brojem pripadaju nastavničkom smjeru.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-720"/>
        </w:tabs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ECTS bodovi predviđeni za akademsku godinu moraju se u okviru nje i ostvariti.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Student na kraju studija ne može ni iz jednog studijskog smjera imati manje od 30 ECTS bodova, ali može ostvariti dodatne ECTS bodove kojima se ne mogu nadoknaditi nedostatci u prethodnoj godini.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r-HR"/>
    </w:rPr>
  </w:style>
  <w:style w:type="character" w:styleId="Zadanifontodlomka">
    <w:name w:val="Zadani font odlomka"/>
    <w:next w:val="Zadanifontodlomk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Običnatablica">
    <w:name w:val="Obična tablica"/>
    <w:next w:val="Običnatablic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>
    <w:name w:val="Bez popisa"/>
    <w:next w:val="Bezpopis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Rešetkatablice">
    <w:name w:val="Rešetka tablice"/>
    <w:basedOn w:val="Običnatablica"/>
    <w:next w:val="Rešetkatablic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ešetkatablic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paragraph" w:styleId="Tekstbalončića">
    <w:name w:val="Tekst balončića"/>
    <w:basedOn w:val="Normal"/>
    <w:next w:val="Tekstbalončić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imSu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hr-HR"/>
    </w:rPr>
  </w:style>
  <w:style w:type="character" w:styleId="TekstbalončićaChar">
    <w:name w:val="Tekst balončića Char"/>
    <w:next w:val="TekstbalončićaChar"/>
    <w:autoRedefine w:val="0"/>
    <w:hidden w:val="0"/>
    <w:qFormat w:val="0"/>
    <w:rPr>
      <w:rFonts w:ascii="Segoe UI" w:cs="Segoe UI" w:eastAsia="SimSun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Referencakomentara">
    <w:name w:val="Referenca komentara"/>
    <w:next w:val="Referencakomentar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a">
    <w:name w:val="Tekst komentara"/>
    <w:basedOn w:val="Normal"/>
    <w:next w:val="Tekstkomenta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hr-HR"/>
    </w:rPr>
  </w:style>
  <w:style w:type="character" w:styleId="TekstkomentaraChar">
    <w:name w:val="Tekst komentara Char"/>
    <w:next w:val="Tekstkomentar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 w:val="hr-HR"/>
    </w:rPr>
  </w:style>
  <w:style w:type="paragraph" w:styleId="Predmetkomentara">
    <w:name w:val="Predmet komentara"/>
    <w:basedOn w:val="Tekstkomentara"/>
    <w:next w:val="Tekstkomenta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hr-HR"/>
    </w:rPr>
  </w:style>
  <w:style w:type="character" w:styleId="PredmetkomentaraChar">
    <w:name w:val="Predmet komentara Char"/>
    <w:next w:val="Predmetkomentara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 w:val="hr-HR"/>
    </w:rPr>
  </w:style>
  <w:style w:type="character" w:styleId="Hiperveza">
    <w:name w:val="Hiperveza"/>
    <w:next w:val="Hiperveza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ijeđenaHiperveza">
    <w:name w:val="SlijeđenaHiperveza"/>
    <w:next w:val="SlijeđenaHiperveza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S4apYfS4Emyk9buwvBfnslghA==">CgMxLjA4AHIhMVpaVTQxSl9DVGUxbjRPMTJ2SVlfTE9PZEFVTmx1YUJX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2024-06-07T21:31:00Z</dcterms:created>
  <dc:creator>Administrator</dc:creator>
</cp:coreProperties>
</file>