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7AB" w:rsidRDefault="00855558">
      <w:pPr>
        <w:jc w:val="center"/>
        <w:rPr>
          <w:rFonts w:hint="eastAsia"/>
          <w:b/>
          <w:color w:val="18A303" w:themeColor="accent1"/>
          <w:sz w:val="28"/>
          <w:szCs w:val="28"/>
        </w:rPr>
      </w:pPr>
      <w:bookmarkStart w:id="0" w:name="_GoBack"/>
      <w:bookmarkEnd w:id="0"/>
      <w:r>
        <w:rPr>
          <w:noProof/>
          <w:lang w:eastAsia="en-US" w:bidi="ar-SA"/>
        </w:rPr>
        <w:drawing>
          <wp:anchor distT="0" distB="0" distL="0" distR="0" simplePos="0" relativeHeight="2" behindDoc="0" locked="0" layoutInCell="0" allowOverlap="1">
            <wp:simplePos x="0" y="0"/>
            <wp:positionH relativeFrom="column">
              <wp:posOffset>5934075</wp:posOffset>
            </wp:positionH>
            <wp:positionV relativeFrom="paragraph">
              <wp:posOffset>-318135</wp:posOffset>
            </wp:positionV>
            <wp:extent cx="601980" cy="601980"/>
            <wp:effectExtent l="0" t="0" r="0" b="0"/>
            <wp:wrapSquare wrapText="largest"/>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5"/>
                    <a:stretch>
                      <a:fillRect/>
                    </a:stretch>
                  </pic:blipFill>
                  <pic:spPr bwMode="auto">
                    <a:xfrm>
                      <a:off x="0" y="0"/>
                      <a:ext cx="601980" cy="601980"/>
                    </a:xfrm>
                    <a:prstGeom prst="rect">
                      <a:avLst/>
                    </a:prstGeom>
                  </pic:spPr>
                </pic:pic>
              </a:graphicData>
            </a:graphic>
          </wp:anchor>
        </w:drawing>
      </w:r>
      <w:r>
        <w:rPr>
          <w:noProof/>
          <w:lang w:eastAsia="en-US" w:bidi="ar-SA"/>
        </w:rPr>
        <w:drawing>
          <wp:anchor distT="0" distB="0" distL="0" distR="0" simplePos="0" relativeHeight="3" behindDoc="0" locked="0" layoutInCell="0" allowOverlap="1">
            <wp:simplePos x="0" y="0"/>
            <wp:positionH relativeFrom="column">
              <wp:posOffset>-257175</wp:posOffset>
            </wp:positionH>
            <wp:positionV relativeFrom="paragraph">
              <wp:posOffset>-258445</wp:posOffset>
            </wp:positionV>
            <wp:extent cx="2145030" cy="645795"/>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6"/>
                    <a:stretch>
                      <a:fillRect/>
                    </a:stretch>
                  </pic:blipFill>
                  <pic:spPr bwMode="auto">
                    <a:xfrm>
                      <a:off x="0" y="0"/>
                      <a:ext cx="2145030" cy="645795"/>
                    </a:xfrm>
                    <a:prstGeom prst="rect">
                      <a:avLst/>
                    </a:prstGeom>
                  </pic:spPr>
                </pic:pic>
              </a:graphicData>
            </a:graphic>
          </wp:anchor>
        </w:drawing>
      </w:r>
    </w:p>
    <w:p w:rsidR="000647AB" w:rsidRDefault="000647AB">
      <w:pPr>
        <w:jc w:val="center"/>
        <w:rPr>
          <w:rFonts w:hint="eastAsia"/>
          <w:b/>
          <w:color w:val="18A303" w:themeColor="accent1"/>
          <w:sz w:val="28"/>
          <w:szCs w:val="28"/>
        </w:rPr>
      </w:pPr>
    </w:p>
    <w:p w:rsidR="000647AB" w:rsidRDefault="000647AB">
      <w:pPr>
        <w:jc w:val="center"/>
        <w:rPr>
          <w:rFonts w:hint="eastAsia"/>
          <w:b/>
          <w:color w:val="18A303" w:themeColor="accent1"/>
          <w:sz w:val="28"/>
          <w:szCs w:val="28"/>
        </w:rPr>
      </w:pPr>
    </w:p>
    <w:p w:rsidR="000647AB" w:rsidRDefault="000647AB">
      <w:pPr>
        <w:jc w:val="center"/>
        <w:rPr>
          <w:rFonts w:hint="eastAsia"/>
          <w:b/>
          <w:color w:val="18A303" w:themeColor="accent1"/>
          <w:sz w:val="28"/>
          <w:szCs w:val="28"/>
        </w:rPr>
      </w:pPr>
    </w:p>
    <w:p w:rsidR="000647AB" w:rsidRDefault="00855558">
      <w:pPr>
        <w:jc w:val="center"/>
        <w:rPr>
          <w:rFonts w:hint="eastAsia"/>
          <w:b/>
          <w:color w:val="18A303" w:themeColor="accent1"/>
          <w:sz w:val="28"/>
          <w:szCs w:val="28"/>
        </w:rPr>
      </w:pPr>
      <w:r>
        <w:rPr>
          <w:b/>
          <w:color w:val="18A303" w:themeColor="accent1"/>
          <w:sz w:val="28"/>
          <w:szCs w:val="28"/>
        </w:rPr>
        <w:t>Earth’s Resources: From Natural Riches to Cultural Riches</w:t>
      </w:r>
    </w:p>
    <w:p w:rsidR="000647AB" w:rsidRDefault="000647AB">
      <w:pPr>
        <w:jc w:val="center"/>
        <w:rPr>
          <w:rFonts w:hint="eastAsia"/>
          <w:b/>
          <w:color w:val="18A303" w:themeColor="accent1"/>
          <w:sz w:val="28"/>
          <w:szCs w:val="28"/>
        </w:rPr>
      </w:pPr>
    </w:p>
    <w:p w:rsidR="000647AB" w:rsidRDefault="00855558">
      <w:pPr>
        <w:jc w:val="center"/>
        <w:rPr>
          <w:rFonts w:hint="eastAsia"/>
          <w:b/>
          <w:sz w:val="28"/>
          <w:szCs w:val="28"/>
        </w:rPr>
      </w:pPr>
      <w:r>
        <w:rPr>
          <w:b/>
          <w:sz w:val="28"/>
          <w:szCs w:val="28"/>
        </w:rPr>
        <w:t xml:space="preserve">Blended Intensive </w:t>
      </w:r>
      <w:proofErr w:type="spellStart"/>
      <w:r>
        <w:rPr>
          <w:b/>
          <w:sz w:val="28"/>
          <w:szCs w:val="28"/>
        </w:rPr>
        <w:t>Programme</w:t>
      </w:r>
      <w:proofErr w:type="spellEnd"/>
    </w:p>
    <w:p w:rsidR="000647AB" w:rsidRDefault="00855558">
      <w:pPr>
        <w:jc w:val="center"/>
        <w:rPr>
          <w:rFonts w:hint="eastAsia"/>
          <w:b/>
          <w:sz w:val="28"/>
          <w:szCs w:val="28"/>
        </w:rPr>
      </w:pPr>
      <w:r>
        <w:rPr>
          <w:b/>
          <w:sz w:val="28"/>
          <w:szCs w:val="28"/>
        </w:rPr>
        <w:t xml:space="preserve">“Alexandru </w:t>
      </w:r>
      <w:proofErr w:type="spellStart"/>
      <w:r>
        <w:rPr>
          <w:b/>
          <w:sz w:val="28"/>
          <w:szCs w:val="28"/>
        </w:rPr>
        <w:t>Ioan</w:t>
      </w:r>
      <w:proofErr w:type="spellEnd"/>
      <w:r>
        <w:rPr>
          <w:b/>
          <w:sz w:val="28"/>
          <w:szCs w:val="28"/>
        </w:rPr>
        <w:t xml:space="preserve"> </w:t>
      </w:r>
      <w:proofErr w:type="spellStart"/>
      <w:r>
        <w:rPr>
          <w:b/>
          <w:sz w:val="28"/>
          <w:szCs w:val="28"/>
        </w:rPr>
        <w:t>Cuza</w:t>
      </w:r>
      <w:proofErr w:type="spellEnd"/>
      <w:r>
        <w:rPr>
          <w:b/>
          <w:sz w:val="28"/>
          <w:szCs w:val="28"/>
        </w:rPr>
        <w:t xml:space="preserve">” University of </w:t>
      </w:r>
      <w:proofErr w:type="spellStart"/>
      <w:r>
        <w:rPr>
          <w:b/>
          <w:sz w:val="28"/>
          <w:szCs w:val="28"/>
        </w:rPr>
        <w:t>Iași</w:t>
      </w:r>
      <w:proofErr w:type="spellEnd"/>
      <w:r>
        <w:rPr>
          <w:b/>
          <w:sz w:val="28"/>
          <w:szCs w:val="28"/>
        </w:rPr>
        <w:t xml:space="preserve">, Romania </w:t>
      </w:r>
    </w:p>
    <w:p w:rsidR="000647AB" w:rsidRDefault="000647AB">
      <w:pPr>
        <w:jc w:val="center"/>
        <w:rPr>
          <w:rFonts w:hint="eastAsia"/>
          <w:b/>
          <w:i/>
        </w:rPr>
      </w:pPr>
    </w:p>
    <w:p w:rsidR="000647AB" w:rsidRDefault="00855558">
      <w:pPr>
        <w:jc w:val="center"/>
        <w:rPr>
          <w:rFonts w:hint="eastAsia"/>
          <w:b/>
          <w:i/>
          <w:color w:val="FF0000"/>
        </w:rPr>
      </w:pPr>
      <w:r>
        <w:rPr>
          <w:b/>
          <w:i/>
          <w:color w:val="FF0000"/>
        </w:rPr>
        <w:t>Call for partners</w:t>
      </w:r>
    </w:p>
    <w:p w:rsidR="000647AB" w:rsidRDefault="000647AB">
      <w:pPr>
        <w:jc w:val="center"/>
        <w:rPr>
          <w:rFonts w:hint="eastAsia"/>
          <w:b/>
          <w:i/>
          <w:color w:val="FF0000"/>
        </w:rPr>
      </w:pPr>
    </w:p>
    <w:p w:rsidR="000647AB" w:rsidRDefault="00855558">
      <w:pPr>
        <w:shd w:val="clear" w:color="auto" w:fill="C3FDBB" w:themeFill="accent1" w:themeFillTint="33"/>
        <w:rPr>
          <w:rFonts w:hint="eastAsia"/>
        </w:rPr>
      </w:pPr>
      <w:r>
        <w:t>What is it about?</w:t>
      </w:r>
    </w:p>
    <w:p w:rsidR="000647AB" w:rsidRDefault="000647AB">
      <w:pPr>
        <w:rPr>
          <w:rFonts w:ascii="Calibri" w:eastAsia="Calibri" w:hAnsi="Calibri"/>
          <w:kern w:val="0"/>
          <w:sz w:val="22"/>
          <w:szCs w:val="22"/>
          <w:lang w:eastAsia="en-US" w:bidi="ar-SA"/>
        </w:rPr>
      </w:pPr>
    </w:p>
    <w:p w:rsidR="000647AB" w:rsidRDefault="00855558">
      <w:pPr>
        <w:jc w:val="both"/>
        <w:rPr>
          <w:rFonts w:hint="eastAsia"/>
        </w:rPr>
      </w:pPr>
      <w:r>
        <w:t xml:space="preserve">This program explores natural resources (minerals, oil, salt, mineral water, thermal water) both from a geological perspective and a cultural viewpoint. </w:t>
      </w:r>
    </w:p>
    <w:p w:rsidR="000647AB" w:rsidRDefault="000647AB">
      <w:pPr>
        <w:jc w:val="both"/>
        <w:rPr>
          <w:rFonts w:cs="Times New Roman" w:hint="eastAsia"/>
          <w:color w:val="000000"/>
        </w:rPr>
      </w:pPr>
    </w:p>
    <w:p w:rsidR="000647AB" w:rsidRDefault="00855558">
      <w:pPr>
        <w:jc w:val="both"/>
        <w:rPr>
          <w:rFonts w:hint="eastAsia"/>
        </w:rPr>
      </w:pPr>
      <w:r>
        <w:rPr>
          <w:rFonts w:cs="Times New Roman"/>
          <w:color w:val="000000"/>
        </w:rPr>
        <w:t xml:space="preserve">It blends the theoretical framework provided by means of interactive lectures held by experts from the fields of Geology, Geography, Chemistry, History, Theology and the Arts, with practical activities such as mineral identification and modelling, chemical analyses of mineral water composition, identification of various types of crude oil etc., and visits to various sites of cultural and historical significance in </w:t>
      </w:r>
      <w:proofErr w:type="spellStart"/>
      <w:r>
        <w:rPr>
          <w:rFonts w:cs="Times New Roman"/>
          <w:color w:val="000000"/>
        </w:rPr>
        <w:t>Iași</w:t>
      </w:r>
      <w:proofErr w:type="spellEnd"/>
      <w:r>
        <w:rPr>
          <w:rFonts w:cs="Times New Roman"/>
          <w:i/>
          <w:iCs/>
          <w:color w:val="000000"/>
        </w:rPr>
        <w:t xml:space="preserve"> </w:t>
      </w:r>
      <w:r>
        <w:rPr>
          <w:rFonts w:cs="Times New Roman"/>
          <w:color w:val="000000"/>
        </w:rPr>
        <w:t xml:space="preserve">and Bukovina. </w:t>
      </w:r>
    </w:p>
    <w:p w:rsidR="000647AB" w:rsidRDefault="000647AB">
      <w:pPr>
        <w:jc w:val="both"/>
        <w:rPr>
          <w:rFonts w:cs="Times New Roman" w:hint="eastAsia"/>
          <w:color w:val="000000"/>
        </w:rPr>
      </w:pPr>
    </w:p>
    <w:p w:rsidR="000647AB" w:rsidRDefault="00855558">
      <w:pPr>
        <w:jc w:val="both"/>
        <w:rPr>
          <w:rFonts w:hint="eastAsia"/>
        </w:rPr>
      </w:pPr>
      <w:r>
        <w:rPr>
          <w:rFonts w:cs="Times New Roman"/>
          <w:color w:val="000000"/>
        </w:rPr>
        <w:t xml:space="preserve">The main objective of the program is to allow participants to deepen their understanding of the ways in which natural resources are formed, extracted and utilized, and of the imprint they can leave upon the history and culture of a country. </w:t>
      </w:r>
    </w:p>
    <w:p w:rsidR="000647AB" w:rsidRDefault="000647AB">
      <w:pPr>
        <w:ind w:left="720"/>
        <w:jc w:val="both"/>
        <w:rPr>
          <w:rFonts w:hint="eastAsia"/>
        </w:rPr>
      </w:pPr>
    </w:p>
    <w:p w:rsidR="000647AB" w:rsidRDefault="00855558">
      <w:pPr>
        <w:shd w:val="clear" w:color="auto" w:fill="C3FDBB" w:themeFill="accent1" w:themeFillTint="33"/>
        <w:rPr>
          <w:rFonts w:hint="eastAsia"/>
        </w:rPr>
      </w:pPr>
      <w:r>
        <w:t>Where?</w:t>
      </w:r>
    </w:p>
    <w:p w:rsidR="000647AB" w:rsidRDefault="000647AB">
      <w:pPr>
        <w:rPr>
          <w:rFonts w:hint="eastAsia"/>
        </w:rPr>
      </w:pPr>
    </w:p>
    <w:p w:rsidR="000647AB" w:rsidRDefault="00855558">
      <w:pPr>
        <w:rPr>
          <w:rFonts w:hint="eastAsia"/>
        </w:rPr>
      </w:pPr>
      <w:r>
        <w:t xml:space="preserve">“Alexandru </w:t>
      </w:r>
      <w:proofErr w:type="spellStart"/>
      <w:r>
        <w:t>Ioan</w:t>
      </w:r>
      <w:proofErr w:type="spellEnd"/>
      <w:r>
        <w:t xml:space="preserve"> </w:t>
      </w:r>
      <w:proofErr w:type="spellStart"/>
      <w:r>
        <w:t>Cuza</w:t>
      </w:r>
      <w:proofErr w:type="spellEnd"/>
      <w:r>
        <w:t xml:space="preserve">” University of </w:t>
      </w:r>
      <w:proofErr w:type="spellStart"/>
      <w:r>
        <w:t>Ia</w:t>
      </w:r>
      <w:r>
        <w:rPr>
          <w:rFonts w:cs="Times New Roman"/>
          <w:color w:val="000000"/>
        </w:rPr>
        <w:t>ș</w:t>
      </w:r>
      <w:r>
        <w:t>i</w:t>
      </w:r>
      <w:proofErr w:type="spellEnd"/>
      <w:r>
        <w:t xml:space="preserve">, Romania </w:t>
      </w:r>
    </w:p>
    <w:p w:rsidR="000647AB" w:rsidRDefault="000647AB">
      <w:pPr>
        <w:rPr>
          <w:rFonts w:hint="eastAsia"/>
        </w:rPr>
      </w:pPr>
    </w:p>
    <w:p w:rsidR="000647AB" w:rsidRDefault="00855558">
      <w:pPr>
        <w:shd w:val="clear" w:color="auto" w:fill="C3FDBB" w:themeFill="accent1" w:themeFillTint="33"/>
        <w:rPr>
          <w:rFonts w:hint="eastAsia"/>
        </w:rPr>
      </w:pPr>
      <w:r>
        <w:t>When?</w:t>
      </w:r>
    </w:p>
    <w:p w:rsidR="000647AB" w:rsidRDefault="00855558">
      <w:pPr>
        <w:rPr>
          <w:rFonts w:hint="eastAsia"/>
        </w:rPr>
      </w:pPr>
      <w:r>
        <w:t xml:space="preserve"> </w:t>
      </w:r>
    </w:p>
    <w:p w:rsidR="000647AB" w:rsidRDefault="00855558">
      <w:pPr>
        <w:rPr>
          <w:rFonts w:cstheme="minorHAnsi" w:hint="eastAsia"/>
        </w:rPr>
      </w:pPr>
      <w:r>
        <w:t>On-site (</w:t>
      </w:r>
      <w:proofErr w:type="spellStart"/>
      <w:r>
        <w:t>Ia</w:t>
      </w:r>
      <w:r>
        <w:rPr>
          <w:rFonts w:cs="Times New Roman"/>
          <w:color w:val="000000"/>
        </w:rPr>
        <w:t>ș</w:t>
      </w:r>
      <w:r>
        <w:t>i</w:t>
      </w:r>
      <w:proofErr w:type="spellEnd"/>
      <w:r>
        <w:t xml:space="preserve">, Romania): </w:t>
      </w:r>
      <w:r>
        <w:rPr>
          <w:rFonts w:cstheme="minorHAnsi"/>
        </w:rPr>
        <w:t>March 30</w:t>
      </w:r>
      <w:r>
        <w:rPr>
          <w:rFonts w:cstheme="minorHAnsi"/>
          <w:vertAlign w:val="superscript"/>
        </w:rPr>
        <w:t xml:space="preserve">th </w:t>
      </w:r>
      <w:r>
        <w:rPr>
          <w:rFonts w:cstheme="minorHAnsi"/>
        </w:rPr>
        <w:t>– April 3</w:t>
      </w:r>
      <w:r>
        <w:rPr>
          <w:rFonts w:cstheme="minorHAnsi"/>
          <w:vertAlign w:val="superscript"/>
        </w:rPr>
        <w:t>rd</w:t>
      </w:r>
      <w:r>
        <w:rPr>
          <w:rFonts w:cstheme="minorHAnsi"/>
        </w:rPr>
        <w:t>,</w:t>
      </w:r>
      <w:r>
        <w:rPr>
          <w:rFonts w:cstheme="minorHAnsi"/>
          <w:vertAlign w:val="superscript"/>
        </w:rPr>
        <w:t xml:space="preserve"> </w:t>
      </w:r>
      <w:r>
        <w:rPr>
          <w:rFonts w:cstheme="minorHAnsi"/>
        </w:rPr>
        <w:t>2026</w:t>
      </w:r>
    </w:p>
    <w:p w:rsidR="000647AB" w:rsidRDefault="00855558">
      <w:pPr>
        <w:rPr>
          <w:rFonts w:hint="eastAsia"/>
        </w:rPr>
      </w:pPr>
      <w:r>
        <w:t>Online: March 24</w:t>
      </w:r>
      <w:r>
        <w:rPr>
          <w:vertAlign w:val="superscript"/>
        </w:rPr>
        <w:t xml:space="preserve">th </w:t>
      </w:r>
      <w:r>
        <w:t>– 26</w:t>
      </w:r>
      <w:r>
        <w:rPr>
          <w:vertAlign w:val="superscript"/>
        </w:rPr>
        <w:t>st</w:t>
      </w:r>
      <w:r>
        <w:t>,</w:t>
      </w:r>
      <w:r>
        <w:rPr>
          <w:vertAlign w:val="superscript"/>
        </w:rPr>
        <w:t xml:space="preserve"> </w:t>
      </w:r>
      <w:r>
        <w:t>2026 and April 7</w:t>
      </w:r>
      <w:r>
        <w:rPr>
          <w:vertAlign w:val="superscript"/>
        </w:rPr>
        <w:t>th</w:t>
      </w:r>
      <w:r>
        <w:t xml:space="preserve"> – 8</w:t>
      </w:r>
      <w:r>
        <w:rPr>
          <w:vertAlign w:val="superscript"/>
        </w:rPr>
        <w:t>th</w:t>
      </w:r>
      <w:r>
        <w:t>,</w:t>
      </w:r>
      <w:r>
        <w:rPr>
          <w:vertAlign w:val="superscript"/>
        </w:rPr>
        <w:t xml:space="preserve"> </w:t>
      </w:r>
      <w:r>
        <w:t>2026</w:t>
      </w:r>
    </w:p>
    <w:p w:rsidR="000647AB" w:rsidRDefault="000647AB">
      <w:pPr>
        <w:rPr>
          <w:rFonts w:hint="eastAsia"/>
        </w:rPr>
      </w:pPr>
    </w:p>
    <w:p w:rsidR="000647AB" w:rsidRDefault="00855558">
      <w:pPr>
        <w:shd w:val="clear" w:color="auto" w:fill="C3FDBB" w:themeFill="accent1" w:themeFillTint="33"/>
        <w:rPr>
          <w:rFonts w:hint="eastAsia"/>
        </w:rPr>
      </w:pPr>
      <w:r>
        <w:t>Who should attend?</w:t>
      </w:r>
    </w:p>
    <w:p w:rsidR="000647AB" w:rsidRDefault="000647AB">
      <w:pPr>
        <w:jc w:val="both"/>
        <w:rPr>
          <w:rFonts w:hint="eastAsia"/>
        </w:rPr>
      </w:pPr>
    </w:p>
    <w:p w:rsidR="000647AB" w:rsidRDefault="00855558">
      <w:pPr>
        <w:jc w:val="both"/>
        <w:rPr>
          <w:rFonts w:hint="eastAsia"/>
        </w:rPr>
      </w:pPr>
      <w:r>
        <w:t xml:space="preserve">The program is designed for both undergraduate and graduate students from the fields of Geology, Geography, Chemistry, History, Theology and the Arts who are interested in interdisciplinary learning, exploring cross-cultural perspectives and building international networks. </w:t>
      </w:r>
    </w:p>
    <w:p w:rsidR="000647AB" w:rsidRDefault="000647AB">
      <w:pPr>
        <w:rPr>
          <w:rFonts w:hint="eastAsia"/>
        </w:rPr>
      </w:pPr>
    </w:p>
    <w:p w:rsidR="000647AB" w:rsidRDefault="00855558">
      <w:pPr>
        <w:shd w:val="clear" w:color="auto" w:fill="C3FDBB" w:themeFill="accent1" w:themeFillTint="33"/>
        <w:rPr>
          <w:rFonts w:hint="eastAsia"/>
        </w:rPr>
      </w:pPr>
      <w:r>
        <w:t>Learning outcomes</w:t>
      </w:r>
    </w:p>
    <w:p w:rsidR="000647AB" w:rsidRDefault="000647AB">
      <w:pPr>
        <w:jc w:val="both"/>
        <w:rPr>
          <w:rFonts w:hint="eastAsia"/>
        </w:rPr>
      </w:pPr>
    </w:p>
    <w:p w:rsidR="000647AB" w:rsidRDefault="00855558">
      <w:pPr>
        <w:jc w:val="both"/>
        <w:rPr>
          <w:rFonts w:hint="eastAsia"/>
        </w:rPr>
      </w:pPr>
      <w:r>
        <w:t xml:space="preserve">The </w:t>
      </w:r>
      <w:r>
        <w:rPr>
          <w:b/>
          <w:bCs/>
        </w:rPr>
        <w:t xml:space="preserve">Blended Intensive </w:t>
      </w:r>
      <w:proofErr w:type="spellStart"/>
      <w:r>
        <w:rPr>
          <w:b/>
          <w:bCs/>
        </w:rPr>
        <w:t>Programme</w:t>
      </w:r>
      <w:proofErr w:type="spellEnd"/>
      <w:r>
        <w:rPr>
          <w:b/>
          <w:bCs/>
        </w:rPr>
        <w:t xml:space="preserve"> </w:t>
      </w:r>
      <w:r>
        <w:rPr>
          <w:b/>
          <w:bCs/>
          <w:i/>
          <w:iCs/>
        </w:rPr>
        <w:t>Earth’s Resources: From Natural Riches to Cultural Riches</w:t>
      </w:r>
      <w:r>
        <w:t xml:space="preserve"> is designed to deliver the following key learning outcomes:  </w:t>
      </w:r>
    </w:p>
    <w:p w:rsidR="000647AB" w:rsidRDefault="000647AB">
      <w:pPr>
        <w:jc w:val="both"/>
        <w:rPr>
          <w:rFonts w:hint="eastAsia"/>
        </w:rPr>
      </w:pPr>
    </w:p>
    <w:p w:rsidR="000647AB" w:rsidRDefault="00855558">
      <w:pPr>
        <w:numPr>
          <w:ilvl w:val="0"/>
          <w:numId w:val="3"/>
        </w:numPr>
        <w:jc w:val="both"/>
        <w:rPr>
          <w:rFonts w:hint="eastAsia"/>
        </w:rPr>
      </w:pPr>
      <w:r>
        <w:t>Advanced understanding of the geology of natural resources and their cultural impact</w:t>
      </w:r>
    </w:p>
    <w:p w:rsidR="000647AB" w:rsidRDefault="00855558">
      <w:pPr>
        <w:numPr>
          <w:ilvl w:val="0"/>
          <w:numId w:val="4"/>
        </w:numPr>
        <w:jc w:val="both"/>
        <w:rPr>
          <w:rFonts w:hint="eastAsia"/>
        </w:rPr>
      </w:pPr>
      <w:r>
        <w:lastRenderedPageBreak/>
        <w:t>Enhanced comparative analysis and communication skills</w:t>
      </w:r>
    </w:p>
    <w:p w:rsidR="000647AB" w:rsidRDefault="00855558">
      <w:pPr>
        <w:numPr>
          <w:ilvl w:val="0"/>
          <w:numId w:val="4"/>
        </w:numPr>
        <w:jc w:val="both"/>
        <w:rPr>
          <w:rFonts w:hint="eastAsia"/>
        </w:rPr>
      </w:pPr>
      <w:r>
        <w:t xml:space="preserve">Multicultural perspective </w:t>
      </w:r>
    </w:p>
    <w:p w:rsidR="000647AB" w:rsidRDefault="00855558">
      <w:pPr>
        <w:numPr>
          <w:ilvl w:val="0"/>
          <w:numId w:val="4"/>
        </w:numPr>
        <w:jc w:val="both"/>
        <w:rPr>
          <w:rFonts w:hint="eastAsia"/>
        </w:rPr>
      </w:pPr>
      <w:r>
        <w:t>Practical tools usable when conducting research on natural resources and their applications</w:t>
      </w:r>
    </w:p>
    <w:p w:rsidR="000647AB" w:rsidRDefault="000647AB">
      <w:pPr>
        <w:jc w:val="both"/>
        <w:rPr>
          <w:rFonts w:hint="eastAsia"/>
        </w:rPr>
      </w:pPr>
    </w:p>
    <w:p w:rsidR="000647AB" w:rsidRDefault="00855558">
      <w:pPr>
        <w:shd w:val="clear" w:color="auto" w:fill="C3FDBB" w:themeFill="accent1" w:themeFillTint="33"/>
        <w:rPr>
          <w:rFonts w:hint="eastAsia"/>
        </w:rPr>
      </w:pPr>
      <w:r>
        <w:t>Benefits</w:t>
      </w:r>
    </w:p>
    <w:p w:rsidR="000647AB" w:rsidRDefault="000647AB">
      <w:pPr>
        <w:rPr>
          <w:rFonts w:hint="eastAsia"/>
        </w:rPr>
      </w:pPr>
    </w:p>
    <w:p w:rsidR="000647AB" w:rsidRDefault="00855558">
      <w:pPr>
        <w:rPr>
          <w:rFonts w:hint="eastAsia"/>
        </w:rPr>
      </w:pPr>
      <w:r>
        <w:t>3</w:t>
      </w:r>
      <w:r>
        <w:rPr>
          <w:color w:val="FF0000"/>
        </w:rPr>
        <w:t xml:space="preserve"> </w:t>
      </w:r>
      <w:r>
        <w:t>ECTS Credits</w:t>
      </w:r>
    </w:p>
    <w:p w:rsidR="000647AB" w:rsidRDefault="000647AB">
      <w:pPr>
        <w:rPr>
          <w:rFonts w:hint="eastAsia"/>
        </w:rPr>
      </w:pPr>
    </w:p>
    <w:p w:rsidR="000647AB" w:rsidRDefault="00855558">
      <w:pPr>
        <w:shd w:val="clear" w:color="auto" w:fill="C3FDBB" w:themeFill="accent1" w:themeFillTint="33"/>
        <w:rPr>
          <w:rFonts w:hint="eastAsia"/>
        </w:rPr>
      </w:pPr>
      <w:r>
        <w:t>Course structure. Main topics</w:t>
      </w:r>
    </w:p>
    <w:p w:rsidR="000647AB" w:rsidRDefault="000647AB">
      <w:pPr>
        <w:jc w:val="both"/>
        <w:rPr>
          <w:rFonts w:hint="eastAsia"/>
        </w:rPr>
      </w:pPr>
    </w:p>
    <w:p w:rsidR="000647AB" w:rsidRDefault="00855558">
      <w:pPr>
        <w:jc w:val="both"/>
        <w:rPr>
          <w:rFonts w:hint="eastAsia"/>
        </w:rPr>
      </w:pPr>
      <w:r>
        <w:t>The main topics covered are as follows:</w:t>
      </w:r>
    </w:p>
    <w:p w:rsidR="000647AB" w:rsidRDefault="000647AB">
      <w:pPr>
        <w:jc w:val="both"/>
        <w:rPr>
          <w:rFonts w:hint="eastAsia"/>
        </w:rPr>
      </w:pPr>
    </w:p>
    <w:p w:rsidR="000647AB" w:rsidRDefault="00855558">
      <w:pPr>
        <w:numPr>
          <w:ilvl w:val="0"/>
          <w:numId w:val="2"/>
        </w:numPr>
        <w:jc w:val="both"/>
        <w:rPr>
          <w:rFonts w:hint="eastAsia"/>
        </w:rPr>
      </w:pPr>
      <w:r>
        <w:t>the geology of minerals, oil, salt, mineral and thermal water</w:t>
      </w:r>
    </w:p>
    <w:p w:rsidR="000647AB" w:rsidRDefault="00855558">
      <w:pPr>
        <w:numPr>
          <w:ilvl w:val="0"/>
          <w:numId w:val="2"/>
        </w:numPr>
        <w:jc w:val="both"/>
        <w:rPr>
          <w:rFonts w:hint="eastAsia"/>
        </w:rPr>
      </w:pPr>
      <w:r>
        <w:t xml:space="preserve">mineral pigments used in the painting of the frescoes of </w:t>
      </w:r>
      <w:proofErr w:type="spellStart"/>
      <w:r>
        <w:t>Bukovinian</w:t>
      </w:r>
      <w:proofErr w:type="spellEnd"/>
      <w:r>
        <w:t xml:space="preserve"> m</w:t>
      </w:r>
      <w:r>
        <w:rPr>
          <w:rFonts w:cs="Times New Roman"/>
          <w:color w:val="000000"/>
        </w:rPr>
        <w:t>onasteries</w:t>
      </w:r>
    </w:p>
    <w:p w:rsidR="000647AB" w:rsidRDefault="00855558">
      <w:pPr>
        <w:numPr>
          <w:ilvl w:val="0"/>
          <w:numId w:val="2"/>
        </w:numPr>
        <w:jc w:val="both"/>
        <w:rPr>
          <w:rFonts w:hint="eastAsia"/>
        </w:rPr>
      </w:pPr>
      <w:r>
        <w:rPr>
          <w:rFonts w:cs="Times New Roman"/>
          <w:color w:val="000000"/>
        </w:rPr>
        <w:t xml:space="preserve">gemstones referenced in the Bible </w:t>
      </w:r>
    </w:p>
    <w:p w:rsidR="000647AB" w:rsidRDefault="00855558">
      <w:pPr>
        <w:numPr>
          <w:ilvl w:val="0"/>
          <w:numId w:val="2"/>
        </w:numPr>
        <w:jc w:val="both"/>
        <w:rPr>
          <w:rFonts w:hint="eastAsia"/>
        </w:rPr>
      </w:pPr>
      <w:r>
        <w:rPr>
          <w:rFonts w:cs="Times New Roman"/>
          <w:color w:val="000000"/>
        </w:rPr>
        <w:t>the history of oil and salt exploitation on Romanian territory</w:t>
      </w:r>
    </w:p>
    <w:p w:rsidR="000647AB" w:rsidRDefault="00855558">
      <w:pPr>
        <w:numPr>
          <w:ilvl w:val="0"/>
          <w:numId w:val="2"/>
        </w:numPr>
        <w:jc w:val="both"/>
        <w:rPr>
          <w:rFonts w:hint="eastAsia"/>
        </w:rPr>
      </w:pPr>
      <w:r>
        <w:rPr>
          <w:rFonts w:cs="Times New Roman"/>
          <w:color w:val="000000"/>
        </w:rPr>
        <w:t>thermal and mineral water sources</w:t>
      </w:r>
    </w:p>
    <w:p w:rsidR="000647AB" w:rsidRDefault="00855558">
      <w:pPr>
        <w:numPr>
          <w:ilvl w:val="0"/>
          <w:numId w:val="2"/>
        </w:numPr>
        <w:jc w:val="both"/>
        <w:rPr>
          <w:rFonts w:hint="eastAsia"/>
        </w:rPr>
      </w:pPr>
      <w:r>
        <w:rPr>
          <w:rFonts w:cs="Times New Roman"/>
          <w:color w:val="000000"/>
        </w:rPr>
        <w:t>the geological and cultural heritage across borders</w:t>
      </w:r>
    </w:p>
    <w:p w:rsidR="000647AB" w:rsidRDefault="000647AB">
      <w:pPr>
        <w:ind w:left="720"/>
        <w:jc w:val="both"/>
        <w:rPr>
          <w:rFonts w:cs="Times New Roman" w:hint="eastAsia"/>
          <w:color w:val="000000"/>
        </w:rPr>
      </w:pPr>
    </w:p>
    <w:p w:rsidR="000647AB" w:rsidRDefault="00855558">
      <w:pPr>
        <w:jc w:val="both"/>
        <w:rPr>
          <w:rFonts w:hint="eastAsia"/>
        </w:rPr>
      </w:pPr>
      <w:r>
        <w:t xml:space="preserve">By the end of the program, participants will complete a collaborative task which will allow them to apply the concepts learned. </w:t>
      </w:r>
    </w:p>
    <w:p w:rsidR="000647AB" w:rsidRDefault="000647AB">
      <w:pPr>
        <w:jc w:val="both"/>
        <w:rPr>
          <w:rFonts w:hint="eastAsia"/>
        </w:rPr>
      </w:pPr>
    </w:p>
    <w:p w:rsidR="000647AB" w:rsidRDefault="00855558">
      <w:pPr>
        <w:jc w:val="both"/>
        <w:rPr>
          <w:rFonts w:hint="eastAsia"/>
        </w:rPr>
      </w:pPr>
      <w:r>
        <w:t>The event also includes coffee breaks and social activities organized by the program coordinators, providing opportunities for networking and informal discussions.</w:t>
      </w:r>
    </w:p>
    <w:p w:rsidR="000647AB" w:rsidRDefault="000647AB">
      <w:pPr>
        <w:pStyle w:val="ListParagraph"/>
        <w:jc w:val="both"/>
        <w:rPr>
          <w:rFonts w:hint="eastAsia"/>
        </w:rPr>
      </w:pPr>
    </w:p>
    <w:p w:rsidR="000647AB" w:rsidRDefault="000647AB">
      <w:pPr>
        <w:jc w:val="both"/>
        <w:rPr>
          <w:rFonts w:hint="eastAsia"/>
        </w:rPr>
      </w:pPr>
    </w:p>
    <w:sectPr w:rsidR="000647AB">
      <w:pgSz w:w="12240" w:h="15840"/>
      <w:pgMar w:top="1134"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F1DE6"/>
    <w:multiLevelType w:val="multilevel"/>
    <w:tmpl w:val="6A5EF7B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 w15:restartNumberingAfterBreak="0">
    <w:nsid w:val="4C616548"/>
    <w:multiLevelType w:val="multilevel"/>
    <w:tmpl w:val="805CC6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9B800E8"/>
    <w:multiLevelType w:val="multilevel"/>
    <w:tmpl w:val="0A7A5C8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15:restartNumberingAfterBreak="0">
    <w:nsid w:val="6D202BC4"/>
    <w:multiLevelType w:val="multilevel"/>
    <w:tmpl w:val="6EB8116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78A233BE"/>
    <w:multiLevelType w:val="multilevel"/>
    <w:tmpl w:val="80A4799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7AB"/>
    <w:rsid w:val="000647AB"/>
    <w:rsid w:val="00855558"/>
    <w:rsid w:val="00DC40B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406402-9618-4452-BF20-DC21963CC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kern w:val="2"/>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2025-11-12T08:02:00Z</dcterms:created>
  <dcterms:modified xsi:type="dcterms:W3CDTF">2025-11-12T08:02:00Z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2025-11-12T07:23:03Z</dcterms:created>
  <dc:creator/>
  <dc:description/>
  <dc:language>en-US</dc:language>
  <cp:lastModifiedBy/>
  <cp:lastPrinted>2025-11-12T08:43:35Z</cp:lastPrinted>
  <dcterms:modified xsi:type="dcterms:W3CDTF">2025-11-12T08:44:24Z</dcterms:modified>
  <cp:revision>6</cp:revision>
  <dc:subject/>
  <dc:title/>
</cp:coreProperties>
</file>