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F3B4" w14:textId="77777777" w:rsidR="001C7208" w:rsidRDefault="001C7208" w:rsidP="007F6E31">
      <w:pPr>
        <w:rPr>
          <w:rFonts w:ascii="Times New Roman" w:hAnsi="Times New Roman" w:cs="Times New Roman"/>
          <w:sz w:val="24"/>
          <w:szCs w:val="24"/>
        </w:rPr>
      </w:pPr>
    </w:p>
    <w:p w14:paraId="5A290D5B" w14:textId="3F3A0751" w:rsidR="00122189" w:rsidRDefault="00DF7F4B" w:rsidP="007F6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D1170" w:rsidRPr="00FD1170">
        <w:rPr>
          <w:rFonts w:ascii="Times New Roman" w:hAnsi="Times New Roman" w:cs="Times New Roman"/>
          <w:sz w:val="24"/>
          <w:szCs w:val="24"/>
        </w:rPr>
        <w:t>602-04/25-04/250</w:t>
      </w:r>
      <w:r w:rsidR="00FD1170" w:rsidRPr="00FD1170">
        <w:rPr>
          <w:rFonts w:ascii="Times New Roman" w:hAnsi="Times New Roman" w:cs="Times New Roman"/>
          <w:sz w:val="24"/>
          <w:szCs w:val="24"/>
        </w:rPr>
        <w:tab/>
      </w:r>
    </w:p>
    <w:p w14:paraId="4D3461BD" w14:textId="3037887E" w:rsidR="00DF7F4B" w:rsidRDefault="00DF7F4B" w:rsidP="007F6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D1170" w:rsidRPr="00FD1170">
        <w:rPr>
          <w:rFonts w:ascii="Times New Roman" w:hAnsi="Times New Roman" w:cs="Times New Roman"/>
          <w:sz w:val="24"/>
          <w:szCs w:val="24"/>
        </w:rPr>
        <w:t>2158-83-06-25-1</w:t>
      </w:r>
      <w:bookmarkStart w:id="0" w:name="_GoBack"/>
      <w:bookmarkEnd w:id="0"/>
    </w:p>
    <w:p w14:paraId="55062764" w14:textId="38554289" w:rsidR="001C7208" w:rsidRPr="001C7208" w:rsidRDefault="001C7208" w:rsidP="001C7208">
      <w:pPr>
        <w:rPr>
          <w:rFonts w:ascii="Times New Roman" w:hAnsi="Times New Roman" w:cs="Times New Roman"/>
          <w:sz w:val="24"/>
          <w:szCs w:val="24"/>
        </w:rPr>
      </w:pPr>
      <w:r w:rsidRPr="00BB72C2">
        <w:rPr>
          <w:rFonts w:ascii="Times New Roman" w:hAnsi="Times New Roman" w:cs="Times New Roman"/>
          <w:sz w:val="24"/>
          <w:szCs w:val="24"/>
        </w:rPr>
        <w:t xml:space="preserve">Osijek,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72C2">
        <w:rPr>
          <w:rFonts w:ascii="Times New Roman" w:hAnsi="Times New Roman" w:cs="Times New Roman"/>
          <w:sz w:val="24"/>
          <w:szCs w:val="24"/>
        </w:rPr>
        <w:t>. prosinca 2025.</w:t>
      </w:r>
    </w:p>
    <w:p w14:paraId="68221CD0" w14:textId="77777777" w:rsidR="001C7208" w:rsidRPr="00BB72C2" w:rsidRDefault="001C7208" w:rsidP="001C72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B85091" w14:textId="77777777" w:rsidR="001C7208" w:rsidRPr="00BB72C2" w:rsidRDefault="001C7208" w:rsidP="001C7208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C2">
        <w:rPr>
          <w:rFonts w:ascii="Times New Roman" w:hAnsi="Times New Roman" w:cs="Times New Roman"/>
          <w:b/>
          <w:sz w:val="24"/>
          <w:szCs w:val="24"/>
        </w:rPr>
        <w:t>SWOT ANALIZA, 2026.</w:t>
      </w:r>
    </w:p>
    <w:p w14:paraId="5CF7D84A" w14:textId="77777777" w:rsidR="001C7208" w:rsidRPr="00BB72C2" w:rsidRDefault="001C7208" w:rsidP="001C7208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C2">
        <w:rPr>
          <w:rFonts w:ascii="Times New Roman" w:hAnsi="Times New Roman" w:cs="Times New Roman"/>
          <w:b/>
          <w:sz w:val="24"/>
          <w:szCs w:val="24"/>
        </w:rPr>
        <w:t>Odsjek za hrvatski jezik i književnost</w:t>
      </w:r>
    </w:p>
    <w:p w14:paraId="2B31746A" w14:textId="77777777" w:rsidR="001C7208" w:rsidRPr="00BB72C2" w:rsidRDefault="001C7208" w:rsidP="001C72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4BBEB5" w14:textId="77777777" w:rsidR="001C7208" w:rsidRPr="00BB72C2" w:rsidRDefault="001C7208" w:rsidP="001C72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7208" w:rsidRPr="00BB72C2" w14:paraId="1A707A4D" w14:textId="77777777" w:rsidTr="009D212D">
        <w:tc>
          <w:tcPr>
            <w:tcW w:w="4531" w:type="dxa"/>
            <w:shd w:val="clear" w:color="auto" w:fill="5B9BD5" w:themeFill="accent1"/>
          </w:tcPr>
          <w:p w14:paraId="2BDFE213" w14:textId="77777777" w:rsidR="001C7208" w:rsidRPr="00BB72C2" w:rsidRDefault="001C7208" w:rsidP="009D212D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b/>
                <w:sz w:val="24"/>
                <w:szCs w:val="24"/>
              </w:rPr>
              <w:t>Prednosti (S)</w:t>
            </w:r>
          </w:p>
        </w:tc>
        <w:tc>
          <w:tcPr>
            <w:tcW w:w="4531" w:type="dxa"/>
            <w:shd w:val="clear" w:color="auto" w:fill="5B9BD5" w:themeFill="accent1"/>
          </w:tcPr>
          <w:p w14:paraId="46F0AED8" w14:textId="77777777" w:rsidR="001C7208" w:rsidRPr="00BB72C2" w:rsidRDefault="001C7208" w:rsidP="009D212D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b/>
                <w:sz w:val="24"/>
                <w:szCs w:val="24"/>
              </w:rPr>
              <w:t>Slabosti/nedostatci (W)</w:t>
            </w:r>
          </w:p>
        </w:tc>
      </w:tr>
      <w:tr w:rsidR="001C7208" w:rsidRPr="00BB72C2" w14:paraId="310F41DD" w14:textId="77777777" w:rsidTr="009D212D">
        <w:tc>
          <w:tcPr>
            <w:tcW w:w="4531" w:type="dxa"/>
          </w:tcPr>
          <w:p w14:paraId="681089AD" w14:textId="77777777" w:rsidR="001C7208" w:rsidRPr="00BB72C2" w:rsidRDefault="001C7208" w:rsidP="009D212D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AA68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obrazovanost i iskustvo članova Odsjeka, širokih znanstveno-stručnih interesa i kompetencija</w:t>
            </w:r>
          </w:p>
          <w:p w14:paraId="5F5C3B96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velik broj članova u znanstveno-nastavnom zvanju </w:t>
            </w:r>
          </w:p>
          <w:p w14:paraId="7066C13B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uspješan znanstveno-istraživački rad nastavnika (uključenost u </w:t>
            </w:r>
            <w:hyperlink r:id="rId7" w:history="1">
              <w:r w:rsidRPr="00BB72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znanstvene projekte</w:t>
              </w:r>
            </w:hyperlink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, sudjelovanje na znanstvenim skupovima, znanstveni i stručni radovi, znanstvene knjige, udžbenici, recenzije i dr.)</w:t>
            </w:r>
          </w:p>
          <w:p w14:paraId="310FE92C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znanstveno-stručna i nastavna postignuća članova Odsjeka prepoznata su na lokalnoj, nacionalnoj i međunarodnoj razini</w:t>
            </w:r>
          </w:p>
          <w:p w14:paraId="4A7116D3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znanstveno-stručnim radom i usavršavanjem poboljšava se kvaliteta nastavnoga procesa članova Odsjeka</w:t>
            </w:r>
          </w:p>
          <w:p w14:paraId="6F856E52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suradnja s inozemnim i domaćim znanstvenim i kulturnim institucijama </w:t>
            </w:r>
          </w:p>
          <w:p w14:paraId="6CE63F8A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>sudjelovanje nastavnika i studenata u međunarodnim programima mobilnosti</w:t>
            </w:r>
          </w:p>
          <w:p w14:paraId="582085CC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iskustvo u organizaciji znanstvenih i stručnih skupova (npr. 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>Hrvatski sintaktički dani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>Od norme do uporabe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>Krležini dani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B9B5E7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uključenost nastavnika i studenata u  aktivnosti popularizacije znanosti</w:t>
            </w:r>
          </w:p>
          <w:p w14:paraId="5984541B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kvalitetna uporaba sredstava iz programskih ugovora: Odsjek kontinuirano organizira gostujuća predavanja i terensku nastavu (u zemlji i inozemstvu), pokrenuta su i dva institucionalna istraživačka projekta (</w:t>
            </w:r>
            <w:proofErr w:type="spellStart"/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>Evaluativna</w:t>
            </w:r>
            <w:proofErr w:type="spellEnd"/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značenja umanjenica i uvećanica u hrvatskom jeziku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Politike regionalnih identiteta u slavonskoj književnosti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; 2025.)</w:t>
            </w:r>
          </w:p>
          <w:p w14:paraId="449B6CF2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suradnja sa studentima u provođenju izvannastavnih aktivnosti (izdavačka djelatnost, znanstveno-istraživački rad, organizacija manifestacija) te u  održavanju nastave kroz angažman studenata demonstratora</w:t>
            </w:r>
          </w:p>
          <w:p w14:paraId="19AF514A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suradnja s doktorandima u nastavnim i znanstveno-stručnim aktivnostima</w:t>
            </w:r>
          </w:p>
          <w:p w14:paraId="75CE4165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s radom su Odsjeka povezana dva poslijediplomska studija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Književnost i kulturni identitet 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Jezikoslovlje</w:t>
            </w:r>
          </w:p>
          <w:p w14:paraId="04AFC4C5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kvalitetna suradnja sa studentima u mentorskom sustavu </w:t>
            </w:r>
          </w:p>
          <w:p w14:paraId="661C5D74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suradnja s čitavom odgojno-obrazovnom okomicom (predškolska, osnovnoškolska i srednjoškolska razina)</w:t>
            </w:r>
          </w:p>
          <w:p w14:paraId="693A2B91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doprinos očuvanju nematerijalne kulturne baštine (jezik, govori, stara pisma, tradicijska kultura i dr.)</w:t>
            </w:r>
          </w:p>
          <w:p w14:paraId="77A64040" w14:textId="77777777" w:rsidR="001C7208" w:rsidRPr="003F314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članovi Odsjeka u pravilu čine dio upravljačke strukture Fakulteta, zbog čega se nalaze na izvoru informacija i uključeni su u sve važnije 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znanstveno-nastavne i stručne poslove i aktivnosti</w:t>
            </w:r>
          </w:p>
        </w:tc>
        <w:tc>
          <w:tcPr>
            <w:tcW w:w="4531" w:type="dxa"/>
          </w:tcPr>
          <w:p w14:paraId="3FFBCAA4" w14:textId="77777777" w:rsidR="001C7208" w:rsidRPr="00BB72C2" w:rsidRDefault="001C7208" w:rsidP="009D212D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C4EE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nedostatan broj nacionalnih i međunarodnih znanstvenih projekata u koje su uključeni članovi Odsjeka</w:t>
            </w:r>
          </w:p>
          <w:p w14:paraId="5B249FA6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nedostatna međunarodna vidljivost znanstveno-istraživačke produkcije članova Odsjeka</w:t>
            </w:r>
          </w:p>
          <w:p w14:paraId="270D7E32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>preopterećenost dijela članova Odsjeka nastavnim obvezama</w:t>
            </w:r>
          </w:p>
          <w:p w14:paraId="4BAF044D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izrazito smanjen interes za Jednopredmetni studij</w:t>
            </w:r>
          </w:p>
          <w:p w14:paraId="1444EA66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nedovoljna vidljivost nadarenih i kreativnih studenata</w:t>
            </w:r>
          </w:p>
          <w:p w14:paraId="32E0F82A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nedovoljna iskorištenost studentskih potencijala u znanstvenim i stručnim, ponekad čak i u nastavnim projektima (primjerice aspekata digitalne i medijske pismenosti, njihove glazbene naobraženosti i slično)</w:t>
            </w:r>
          </w:p>
          <w:p w14:paraId="7B9D2411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nedostatni oblici didaktičko-metodičkoga usavršavanja nastavnoga osoblja (npr. u području e-nastave, vrednovanja i sl.), za razliku od bolje pokrivenoga znanstveno-stručnoga usavršavanja</w:t>
            </w:r>
          </w:p>
          <w:p w14:paraId="567DA4F3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slaba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izlaznost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i loša prolaznost na ispitima zbog mogućnosti neograničenog broja izlazaka na ispit</w:t>
            </w:r>
          </w:p>
          <w:p w14:paraId="2D2DD306" w14:textId="77777777" w:rsidR="001C7208" w:rsidRPr="00BB72C2" w:rsidRDefault="001C7208" w:rsidP="009D21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515D" w14:textId="77777777" w:rsidR="001C7208" w:rsidRPr="00BB72C2" w:rsidRDefault="001C7208" w:rsidP="009D21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08" w:rsidRPr="00BB72C2" w14:paraId="22BD4B24" w14:textId="77777777" w:rsidTr="009D212D">
        <w:tc>
          <w:tcPr>
            <w:tcW w:w="4531" w:type="dxa"/>
            <w:shd w:val="clear" w:color="auto" w:fill="5B9BD5" w:themeFill="accent1"/>
          </w:tcPr>
          <w:p w14:paraId="315E9666" w14:textId="77777777" w:rsidR="001C7208" w:rsidRPr="00BB72C2" w:rsidRDefault="001C7208" w:rsidP="009D212D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Prilike/mogućnosti (O)</w:t>
            </w:r>
          </w:p>
        </w:tc>
        <w:tc>
          <w:tcPr>
            <w:tcW w:w="4531" w:type="dxa"/>
            <w:shd w:val="clear" w:color="auto" w:fill="5B9BD5" w:themeFill="accent1"/>
          </w:tcPr>
          <w:p w14:paraId="14BC9C1A" w14:textId="77777777" w:rsidR="001C7208" w:rsidRPr="00BB72C2" w:rsidRDefault="001C7208" w:rsidP="009D212D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Opasnosti/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BB72C2">
              <w:rPr>
                <w:rFonts w:ascii="Times New Roman" w:hAnsi="Times New Roman" w:cs="Times New Roman"/>
                <w:b/>
                <w:sz w:val="24"/>
                <w:szCs w:val="24"/>
              </w:rPr>
              <w:t>rijetnje (T)</w:t>
            </w:r>
          </w:p>
        </w:tc>
      </w:tr>
      <w:tr w:rsidR="001C7208" w:rsidRPr="00BB72C2" w14:paraId="7588475D" w14:textId="77777777" w:rsidTr="009D212D">
        <w:trPr>
          <w:trHeight w:val="6503"/>
        </w:trPr>
        <w:tc>
          <w:tcPr>
            <w:tcW w:w="4531" w:type="dxa"/>
          </w:tcPr>
          <w:p w14:paraId="52F878AC" w14:textId="77777777" w:rsidR="001C7208" w:rsidRPr="00BB72C2" w:rsidRDefault="001C7208" w:rsidP="009D212D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3B19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osuvremenjivanje studijskih programa i njihova prilagodba obrazovnim, kulturnim i društvenim potrebama (posebice s obzirom na kolegije usmjerene digitalnoj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humanistici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baštinskim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sadržajima, kreativnom pisanju, hrvatskom kao drugom i stranom jeziku i sl.)</w:t>
            </w:r>
          </w:p>
          <w:p w14:paraId="51F9F50A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u planu je izrada novih studijskih programa i usklađivanje s potrebama tržišta rada i standardima HKO-a (planira se inicijalna akreditacija poslijediplomskoga specijalističkoga studija 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>Poučavanje hrvatskoga kao inoga jezika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3A5AFE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>jačanje promidžbenih aktivnosti Odsjeka</w:t>
            </w:r>
          </w:p>
          <w:p w14:paraId="42C1C4B9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>osnaživanje suradnje s inozemnim obrazovnim institucijama, ali i tuzemnima, jednako kao i s vanjskim dionicima</w:t>
            </w:r>
          </w:p>
          <w:p w14:paraId="1EA4D031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pojačani znanstveno-istraživački rad i drugi oblici suradnje sa zainteresiranim poslodavcima</w:t>
            </w:r>
          </w:p>
          <w:p w14:paraId="33D39941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prijava novih znanstvenih projekata na nacionalnoj i međunarodnoj razini – pri Odsjeku su aktivna dva institucionalna istraživačka projekta od 2025. godine: </w:t>
            </w:r>
            <w:proofErr w:type="spellStart"/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>Evaluativna</w:t>
            </w:r>
            <w:proofErr w:type="spellEnd"/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značenja umanjenica i uvećanica u hrvatskom jeziku 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(EZUH, voditeljica: izv. prof. dr. sc. Ana Mikić Čolić), </w:t>
            </w:r>
            <w:r w:rsidRPr="00BB72C2">
              <w:rPr>
                <w:rFonts w:ascii="Times New Roman" w:hAnsi="Times New Roman" w:cs="Times New Roman"/>
                <w:i/>
                <w:sz w:val="24"/>
                <w:szCs w:val="24"/>
              </w:rPr>
              <w:t>Politike regionalnih identiteta u slavonskoj književnosti</w:t>
            </w: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(POLIREG, voditeljica: prof. dr. sc. Dubravka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Brunčić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AB27F5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jačanje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međuodsječne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međukatedarske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suradnje i interdisciplinarnih znanstveno-istraživačkih aktivnosti</w:t>
            </w:r>
          </w:p>
          <w:p w14:paraId="5C28B792" w14:textId="77777777" w:rsidR="001C7208" w:rsidRPr="003F314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Fakultet potiče znanstvenu izvrsnost </w:t>
            </w: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>povećavanjem materijalne i institucijske potpore znanstveno-stručnom radu nastavnika, a u planu je i osmišljavanje Fonda za nastavni rad (uz Fond za znanstveni rad)</w:t>
            </w:r>
          </w:p>
        </w:tc>
        <w:tc>
          <w:tcPr>
            <w:tcW w:w="4531" w:type="dxa"/>
          </w:tcPr>
          <w:p w14:paraId="21174684" w14:textId="77777777" w:rsidR="001C7208" w:rsidRPr="00BB72C2" w:rsidRDefault="001C7208" w:rsidP="009D212D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F8EDB4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iCs/>
                <w:sz w:val="24"/>
                <w:szCs w:val="24"/>
              </w:rPr>
              <w:t>nepovoljna demografska kretanja, smanjivanje udjela mladih ljudi u hrvatskom društvu, a time i smanjivanje broja potencijalnih studenata</w:t>
            </w:r>
          </w:p>
          <w:p w14:paraId="2CC3CB43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nametanje tržišnoga modela i koncepta profitabilnosti u organizaciji visokoobrazovnoga sustava </w:t>
            </w:r>
          </w:p>
          <w:p w14:paraId="6E599E02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nepovoljan položaj humanističkih studija u društvu i favoriziranje STEM područja</w:t>
            </w:r>
          </w:p>
          <w:p w14:paraId="7F0F964E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dramatično smanjivanje interesa za Jednopredmetni studij hrvatskoga jezika i književnosti</w:t>
            </w:r>
          </w:p>
          <w:p w14:paraId="1406179D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smanjivanje motiva za odabir nastavničkoga zanimanja zbog slabljenja društvenoga i ekonomskoga statusa nastavnika</w:t>
            </w:r>
          </w:p>
          <w:p w14:paraId="48C49D74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pad kvalitete upisanih studenata (sve manje gimnazijalaca upisuje studij)</w:t>
            </w:r>
          </w:p>
          <w:p w14:paraId="39D9468E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slabo vrednovanje domaćih postignuća, a pretjerivanje u nagrađivanju radova objavljenih u inozemstvu</w:t>
            </w:r>
          </w:p>
          <w:p w14:paraId="5F748023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upisna politika koja za posljedicu ima drastično smanjenje broja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dvopredmetnih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studenata hrvatskoga jezika i književnosti (umjesto fiksnih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dvopredmetnih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kombinacija od 2024. godine na snazi je slobodno kombiniranje </w:t>
            </w:r>
            <w:proofErr w:type="spellStart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dvopredmetnih</w:t>
            </w:r>
            <w:proofErr w:type="spellEnd"/>
            <w:r w:rsidRPr="00BB72C2">
              <w:rPr>
                <w:rFonts w:ascii="Times New Roman" w:hAnsi="Times New Roman" w:cs="Times New Roman"/>
                <w:sz w:val="24"/>
                <w:szCs w:val="24"/>
              </w:rPr>
              <w:t xml:space="preserve"> studija)</w:t>
            </w:r>
          </w:p>
          <w:p w14:paraId="1364B4A8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t>neadekvatna ponuda pedagoško-psihološko-didaktičko-metodičkih kolegija na našim diplomskim studijima (do 55 ili čak 60 potrebnih ECTS-a na tom području)</w:t>
            </w:r>
          </w:p>
          <w:p w14:paraId="197340C3" w14:textId="77777777" w:rsidR="001C7208" w:rsidRPr="00BB72C2" w:rsidRDefault="001C7208" w:rsidP="001C7208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 s ponudom izbornih kolegija i s minimalnim kvotama na stručnim (kroatističkim) izbornim kolegijima prijediplomske i diplomske razine</w:t>
            </w:r>
          </w:p>
        </w:tc>
      </w:tr>
    </w:tbl>
    <w:p w14:paraId="67A067E1" w14:textId="0FBE1981" w:rsidR="001566BA" w:rsidRDefault="001566BA" w:rsidP="007F6E31">
      <w:pPr>
        <w:rPr>
          <w:rFonts w:ascii="Times New Roman" w:hAnsi="Times New Roman" w:cs="Times New Roman"/>
          <w:sz w:val="24"/>
          <w:szCs w:val="24"/>
        </w:rPr>
      </w:pPr>
    </w:p>
    <w:p w14:paraId="0AE51985" w14:textId="7142A778" w:rsidR="001566BA" w:rsidRDefault="001C7208" w:rsidP="005466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d. p</w:t>
      </w:r>
      <w:r w:rsidR="00546648">
        <w:rPr>
          <w:rFonts w:ascii="Times New Roman" w:hAnsi="Times New Roman" w:cs="Times New Roman"/>
          <w:sz w:val="24"/>
          <w:szCs w:val="24"/>
        </w:rPr>
        <w:t>ročelni</w:t>
      </w:r>
      <w:r>
        <w:rPr>
          <w:rFonts w:ascii="Times New Roman" w:hAnsi="Times New Roman" w:cs="Times New Roman"/>
          <w:sz w:val="24"/>
          <w:szCs w:val="24"/>
        </w:rPr>
        <w:t>ka</w:t>
      </w:r>
      <w:r w:rsidR="00546648">
        <w:rPr>
          <w:rFonts w:ascii="Times New Roman" w:hAnsi="Times New Roman" w:cs="Times New Roman"/>
          <w:sz w:val="24"/>
          <w:szCs w:val="24"/>
        </w:rPr>
        <w:t xml:space="preserve"> Odsjeka za hrvatski jezik i književnost</w:t>
      </w:r>
    </w:p>
    <w:p w14:paraId="75D9D672" w14:textId="5D5E0028" w:rsidR="00546648" w:rsidRDefault="001C7208" w:rsidP="00546648">
      <w:pPr>
        <w:jc w:val="right"/>
        <w:rPr>
          <w:rFonts w:ascii="Times New Roman" w:hAnsi="Times New Roman" w:cs="Times New Roman"/>
          <w:sz w:val="24"/>
          <w:szCs w:val="24"/>
        </w:rPr>
      </w:pPr>
      <w:r w:rsidRPr="00BB72C2">
        <w:rPr>
          <w:rFonts w:ascii="Times New Roman" w:hAnsi="Times New Roman" w:cs="Times New Roman"/>
          <w:noProof/>
          <w:sz w:val="24"/>
          <w:szCs w:val="24"/>
          <w:u w:val="single"/>
          <w:lang w:eastAsia="hr-HR"/>
        </w:rPr>
        <w:drawing>
          <wp:inline distT="0" distB="0" distL="0" distR="0" wp14:anchorId="7A38EF12" wp14:editId="75387EFF">
            <wp:extent cx="1671213" cy="339983"/>
            <wp:effectExtent l="0" t="0" r="571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851" cy="3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9CDF" w14:textId="1E5725C8" w:rsidR="00546648" w:rsidRPr="0068631D" w:rsidRDefault="00546648" w:rsidP="005466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dr. sc. </w:t>
      </w:r>
      <w:r w:rsidR="001C7208">
        <w:rPr>
          <w:rFonts w:ascii="Times New Roman" w:hAnsi="Times New Roman" w:cs="Times New Roman"/>
          <w:sz w:val="24"/>
          <w:szCs w:val="24"/>
        </w:rPr>
        <w:t xml:space="preserve">Vera Blažević </w:t>
      </w:r>
      <w:proofErr w:type="spellStart"/>
      <w:r w:rsidR="001C7208">
        <w:rPr>
          <w:rFonts w:ascii="Times New Roman" w:hAnsi="Times New Roman" w:cs="Times New Roman"/>
          <w:sz w:val="24"/>
          <w:szCs w:val="24"/>
        </w:rPr>
        <w:t>Krezić</w:t>
      </w:r>
      <w:proofErr w:type="spellEnd"/>
    </w:p>
    <w:sectPr w:rsidR="00546648" w:rsidRPr="0068631D" w:rsidSect="00280E7E">
      <w:headerReference w:type="even" r:id="rId9"/>
      <w:headerReference w:type="default" r:id="rId10"/>
      <w:headerReference w:type="first" r:id="rId11"/>
      <w:pgSz w:w="11906" w:h="16838"/>
      <w:pgMar w:top="1417" w:right="1417" w:bottom="368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13A5" w14:textId="77777777" w:rsidR="00CE5C0B" w:rsidRDefault="00CE5C0B" w:rsidP="00F71FC4">
      <w:pPr>
        <w:spacing w:after="0" w:line="240" w:lineRule="auto"/>
      </w:pPr>
      <w:r>
        <w:separator/>
      </w:r>
    </w:p>
  </w:endnote>
  <w:endnote w:type="continuationSeparator" w:id="0">
    <w:p w14:paraId="4F87958C" w14:textId="77777777" w:rsidR="00CE5C0B" w:rsidRDefault="00CE5C0B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933BB" w14:textId="77777777" w:rsidR="00CE5C0B" w:rsidRDefault="00CE5C0B" w:rsidP="00F71FC4">
      <w:pPr>
        <w:spacing w:after="0" w:line="240" w:lineRule="auto"/>
      </w:pPr>
      <w:r>
        <w:separator/>
      </w:r>
    </w:p>
  </w:footnote>
  <w:footnote w:type="continuationSeparator" w:id="0">
    <w:p w14:paraId="5C1334A3" w14:textId="77777777" w:rsidR="00CE5C0B" w:rsidRDefault="00CE5C0B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605E6" w14:textId="77777777" w:rsidR="00F71FC4" w:rsidRDefault="00CE5C0B">
    <w:pPr>
      <w:pStyle w:val="Header"/>
    </w:pPr>
    <w:r>
      <w:rPr>
        <w:noProof/>
        <w:lang w:eastAsia="hr-HR"/>
      </w:rPr>
      <w:pict w14:anchorId="34011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3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96F96" w14:textId="77777777" w:rsidR="00F71FC4" w:rsidRDefault="00CE5C0B">
    <w:pPr>
      <w:pStyle w:val="Header"/>
    </w:pPr>
    <w:r>
      <w:rPr>
        <w:noProof/>
        <w:lang w:eastAsia="hr-HR"/>
      </w:rPr>
      <w:pict w14:anchorId="2923E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4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F5FD4" w14:textId="77777777" w:rsidR="00F71FC4" w:rsidRDefault="00CE5C0B">
    <w:pPr>
      <w:pStyle w:val="Header"/>
    </w:pPr>
    <w:r>
      <w:rPr>
        <w:noProof/>
        <w:lang w:eastAsia="hr-HR"/>
      </w:rPr>
      <w:pict w14:anchorId="627D4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2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CA2F98">
      <w:rPr>
        <w:noProof/>
        <w:lang w:eastAsia="hr-HR"/>
      </w:rPr>
      <w:drawing>
        <wp:inline distT="0" distB="0" distL="0" distR="0" wp14:anchorId="7A533123" wp14:editId="649104B9">
          <wp:extent cx="4734783" cy="90000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75"/>
    <w:multiLevelType w:val="hybridMultilevel"/>
    <w:tmpl w:val="B4C688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CED"/>
    <w:multiLevelType w:val="hybridMultilevel"/>
    <w:tmpl w:val="4F8623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3E53"/>
    <w:multiLevelType w:val="hybridMultilevel"/>
    <w:tmpl w:val="54BE5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6AB6"/>
    <w:multiLevelType w:val="hybridMultilevel"/>
    <w:tmpl w:val="E364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12"/>
    <w:rsid w:val="00064533"/>
    <w:rsid w:val="00073C6D"/>
    <w:rsid w:val="00087406"/>
    <w:rsid w:val="000D191B"/>
    <w:rsid w:val="00122189"/>
    <w:rsid w:val="0014494E"/>
    <w:rsid w:val="001566BA"/>
    <w:rsid w:val="001652F9"/>
    <w:rsid w:val="00192112"/>
    <w:rsid w:val="001C7208"/>
    <w:rsid w:val="001D276E"/>
    <w:rsid w:val="001E612D"/>
    <w:rsid w:val="00207C66"/>
    <w:rsid w:val="0022209E"/>
    <w:rsid w:val="002439CE"/>
    <w:rsid w:val="002610D5"/>
    <w:rsid w:val="00280E7E"/>
    <w:rsid w:val="002C6848"/>
    <w:rsid w:val="002D719D"/>
    <w:rsid w:val="002F1875"/>
    <w:rsid w:val="00327C5A"/>
    <w:rsid w:val="00333F23"/>
    <w:rsid w:val="0037457D"/>
    <w:rsid w:val="003944D1"/>
    <w:rsid w:val="003F28D7"/>
    <w:rsid w:val="003F3B64"/>
    <w:rsid w:val="004044CA"/>
    <w:rsid w:val="0043337B"/>
    <w:rsid w:val="00433B2A"/>
    <w:rsid w:val="00470595"/>
    <w:rsid w:val="00490DD6"/>
    <w:rsid w:val="00526DCB"/>
    <w:rsid w:val="00546648"/>
    <w:rsid w:val="00552D96"/>
    <w:rsid w:val="00572D2A"/>
    <w:rsid w:val="00577BB5"/>
    <w:rsid w:val="00584160"/>
    <w:rsid w:val="00587529"/>
    <w:rsid w:val="005C64B1"/>
    <w:rsid w:val="0061411C"/>
    <w:rsid w:val="00621E47"/>
    <w:rsid w:val="00627C9A"/>
    <w:rsid w:val="0068631D"/>
    <w:rsid w:val="006A3007"/>
    <w:rsid w:val="006C03FC"/>
    <w:rsid w:val="006E628B"/>
    <w:rsid w:val="007040B2"/>
    <w:rsid w:val="00750A91"/>
    <w:rsid w:val="00753437"/>
    <w:rsid w:val="00777E6F"/>
    <w:rsid w:val="007C3A97"/>
    <w:rsid w:val="007E7B03"/>
    <w:rsid w:val="007F620F"/>
    <w:rsid w:val="007F6E31"/>
    <w:rsid w:val="00823D07"/>
    <w:rsid w:val="00835629"/>
    <w:rsid w:val="008706E6"/>
    <w:rsid w:val="00893288"/>
    <w:rsid w:val="0089744C"/>
    <w:rsid w:val="00936D60"/>
    <w:rsid w:val="009702C9"/>
    <w:rsid w:val="00980083"/>
    <w:rsid w:val="009A393A"/>
    <w:rsid w:val="009D7A05"/>
    <w:rsid w:val="009E2AE7"/>
    <w:rsid w:val="00A02384"/>
    <w:rsid w:val="00A57D1C"/>
    <w:rsid w:val="00AB39EB"/>
    <w:rsid w:val="00AF6FD1"/>
    <w:rsid w:val="00AF7EE5"/>
    <w:rsid w:val="00B03160"/>
    <w:rsid w:val="00B84E17"/>
    <w:rsid w:val="00B85EFC"/>
    <w:rsid w:val="00BA66AE"/>
    <w:rsid w:val="00BC29C3"/>
    <w:rsid w:val="00C31858"/>
    <w:rsid w:val="00C441A6"/>
    <w:rsid w:val="00C57D83"/>
    <w:rsid w:val="00C94002"/>
    <w:rsid w:val="00C96500"/>
    <w:rsid w:val="00CA2F98"/>
    <w:rsid w:val="00CC2B4E"/>
    <w:rsid w:val="00CD2C97"/>
    <w:rsid w:val="00CE5C0B"/>
    <w:rsid w:val="00D0701F"/>
    <w:rsid w:val="00D23045"/>
    <w:rsid w:val="00D4092E"/>
    <w:rsid w:val="00D54909"/>
    <w:rsid w:val="00D763D2"/>
    <w:rsid w:val="00DC2DF6"/>
    <w:rsid w:val="00DF08F4"/>
    <w:rsid w:val="00DF7F4B"/>
    <w:rsid w:val="00E300FD"/>
    <w:rsid w:val="00E524ED"/>
    <w:rsid w:val="00E74D08"/>
    <w:rsid w:val="00F046C0"/>
    <w:rsid w:val="00F54550"/>
    <w:rsid w:val="00F71FC4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A890A8"/>
  <w15:chartTrackingRefBased/>
  <w15:docId w15:val="{48A18FE7-552E-4349-88C4-39A0FC55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C4"/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C4"/>
  </w:style>
  <w:style w:type="table" w:styleId="TableGrid">
    <w:name w:val="Table Grid"/>
    <w:basedOn w:val="TableNormal"/>
    <w:uiPriority w:val="39"/>
    <w:rsid w:val="0012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189"/>
    <w:pPr>
      <w:ind w:left="720"/>
      <w:contextualSpacing/>
    </w:pPr>
  </w:style>
  <w:style w:type="character" w:customStyle="1" w:styleId="citation">
    <w:name w:val="citation"/>
    <w:basedOn w:val="DefaultParagraphFont"/>
    <w:rsid w:val="00122189"/>
  </w:style>
  <w:style w:type="paragraph" w:styleId="CommentText">
    <w:name w:val="annotation text"/>
    <w:basedOn w:val="Normal"/>
    <w:link w:val="CommentTextChar"/>
    <w:rsid w:val="00122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12218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221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2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7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fos.unios.hr/odsjek-za-hrvatski-jezik-i-knjizevnost/znanstvena-djelatnost/projekt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memo_hr.dotx</Template>
  <TotalTime>0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cp:lastPrinted>2024-11-20T08:21:00Z</cp:lastPrinted>
  <dcterms:created xsi:type="dcterms:W3CDTF">2025-12-10T13:44:00Z</dcterms:created>
  <dcterms:modified xsi:type="dcterms:W3CDTF">2025-12-10T13:44:00Z</dcterms:modified>
</cp:coreProperties>
</file>